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40.png" ContentType="image/png"/>
  <Override PartName="/word/media/rId136.png" ContentType="image/png"/>
  <Override PartName="/word/media/rId132.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February</w:t>
      </w:r>
      <w:r>
        <w:t xml:space="preserve"> </w:t>
      </w:r>
      <w:r>
        <w:t xml:space="preserve">4,</w:t>
      </w:r>
      <w:r>
        <w:t xml:space="preserve"> </w:t>
      </w:r>
      <w:r>
        <w:t xml:space="preserve">2025</w:t>
      </w:r>
    </w:p>
    <w:p>
      <w:pPr>
        <w:pStyle w:val="AbstractTitle"/>
      </w:pPr>
      <w:r>
        <w:t xml:space="preserve">Abstract</w:t>
      </w:r>
    </w:p>
    <w:p>
      <w:pPr>
        <w:pStyle w:val="Abstract"/>
      </w:pPr>
      <w:r>
        <w:t xml:space="preserve">Where</w:t>
      </w:r>
      <w:r>
        <w:t xml:space="preserve"> </w:t>
      </w:r>
      <w:r>
        <w:t xml:space="preserve">do</w:t>
      </w:r>
      <w:r>
        <w:t xml:space="preserve"> </w:t>
      </w:r>
      <w:r>
        <w:t xml:space="preserve">queer</w:t>
      </w:r>
      <w:r>
        <w:t xml:space="preserve"> </w:t>
      </w:r>
      <w:r>
        <w:t xml:space="preserve">immigrants</w:t>
      </w:r>
      <w:r>
        <w:t xml:space="preserve"> </w:t>
      </w:r>
      <w:r>
        <w:t xml:space="preserve">settle</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with</w:t>
      </w:r>
      <w:r>
        <w:t xml:space="preserve"> </w:t>
      </w:r>
      <w:r>
        <w:t xml:space="preserve">immigrants</w:t>
      </w:r>
      <w:r>
        <w:t xml:space="preserve"> </w:t>
      </w:r>
      <w:r>
        <w:t xml:space="preserve">being</w:t>
      </w:r>
      <w:r>
        <w:t xml:space="preserve"> </w:t>
      </w:r>
      <w:r>
        <w:t xml:space="preserve">particularly</w:t>
      </w:r>
      <w:r>
        <w:t xml:space="preserve"> </w:t>
      </w:r>
      <w:r>
        <w:t xml:space="preserve">affected.</w:t>
      </w:r>
      <w:r>
        <w:t xml:space="preserve"> </w:t>
      </w:r>
      <w:r>
        <w:t xml:space="preserve">After</w:t>
      </w:r>
      <w:r>
        <w:t xml:space="preserve"> </w:t>
      </w:r>
      <w:r>
        <w:t xml:space="preserve">the</w:t>
      </w:r>
      <w:r>
        <w:t xml:space="preserve"> </w:t>
      </w:r>
      <w:r>
        <w:t xml:space="preserve">2013</w:t>
      </w:r>
      <w:r>
        <w:t xml:space="preserve"> </w:t>
      </w:r>
      <w:r>
        <w:t xml:space="preserve">end</w:t>
      </w:r>
      <w:r>
        <w:t xml:space="preserve"> </w:t>
      </w:r>
      <w:r>
        <w:t xml:space="preserve">of</w:t>
      </w:r>
      <w:r>
        <w:t xml:space="preserve"> </w:t>
      </w:r>
      <w:r>
        <w:t xml:space="preserve">the</w:t>
      </w:r>
      <w:r>
        <w:t xml:space="preserve"> </w:t>
      </w:r>
      <w:r>
        <w:t xml:space="preserve">Defense</w:t>
      </w:r>
      <w:r>
        <w:t xml:space="preserve"> </w:t>
      </w:r>
      <w:r>
        <w:t xml:space="preserve">of</w:t>
      </w:r>
      <w:r>
        <w:t xml:space="preserve"> </w:t>
      </w:r>
      <w:r>
        <w:t xml:space="preserve">Marriage</w:t>
      </w:r>
      <w:r>
        <w:t xml:space="preserve"> </w:t>
      </w:r>
      <w:r>
        <w:t xml:space="preserve">Act,</w:t>
      </w:r>
      <w:r>
        <w:t xml:space="preserve"> </w:t>
      </w:r>
      <w:r>
        <w:t xml:space="preserve">U.S.</w:t>
      </w:r>
      <w:r>
        <w:t xml:space="preserve"> </w:t>
      </w:r>
      <w:r>
        <w:t xml:space="preserve">citizens</w:t>
      </w:r>
      <w:r>
        <w:t xml:space="preserve"> </w:t>
      </w:r>
      <w:r>
        <w:t xml:space="preserve">could</w:t>
      </w:r>
      <w:r>
        <w:t xml:space="preserve"> </w:t>
      </w:r>
      <w:r>
        <w:t xml:space="preserve">finally</w:t>
      </w:r>
      <w:r>
        <w:t xml:space="preserve"> </w:t>
      </w:r>
      <w:r>
        <w:t xml:space="preserve">sponsor</w:t>
      </w:r>
      <w:r>
        <w:t xml:space="preserve"> </w:t>
      </w:r>
      <w:r>
        <w:t xml:space="preserve">the</w:t>
      </w:r>
      <w:r>
        <w:t xml:space="preserve"> </w:t>
      </w:r>
      <w:r>
        <w:t xml:space="preserve">visa</w:t>
      </w:r>
      <w:r>
        <w:t xml:space="preserve"> </w:t>
      </w:r>
      <w:r>
        <w:t xml:space="preserve">of</w:t>
      </w:r>
      <w:r>
        <w:t xml:space="preserve"> </w:t>
      </w:r>
      <w:r>
        <w:t xml:space="preserve">a</w:t>
      </w:r>
      <w:r>
        <w:t xml:space="preserve"> </w:t>
      </w:r>
      <w:r>
        <w:t xml:space="preserve">same-sex</w:t>
      </w:r>
      <w:r>
        <w:t xml:space="preserve"> </w:t>
      </w:r>
      <w:r>
        <w:t xml:space="preserve">partner,</w:t>
      </w:r>
      <w:r>
        <w:t xml:space="preserve"> </w:t>
      </w:r>
      <w:r>
        <w:t xml:space="preserve">and</w:t>
      </w:r>
      <w:r>
        <w:t xml:space="preserve"> </w:t>
      </w:r>
      <w:r>
        <w:t xml:space="preserve">number</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increased</w:t>
      </w:r>
      <w:r>
        <w:t xml:space="preserve"> </w:t>
      </w:r>
      <w:r>
        <w:t xml:space="preserve">rapidly.</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lesbian,</w:t>
      </w:r>
      <w:r>
        <w:t xml:space="preserve"> </w:t>
      </w:r>
      <w:r>
        <w:t xml:space="preserve">gay,</w:t>
      </w:r>
      <w:r>
        <w:t xml:space="preserve"> </w:t>
      </w:r>
      <w:r>
        <w:t xml:space="preserve">and</w:t>
      </w:r>
      <w:r>
        <w:t xml:space="preserve"> </w:t>
      </w:r>
      <w:r>
        <w:t xml:space="preserve">bisexual</w:t>
      </w:r>
      <w:r>
        <w:t xml:space="preserve"> </w:t>
      </w:r>
      <w:r>
        <w:t xml:space="preserve">(LGB)</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behave</w:t>
      </w:r>
      <w:r>
        <w:t xml:space="preserve"> </w:t>
      </w:r>
      <w:r>
        <w:t xml:space="preserve">more</w:t>
      </w:r>
      <w:r>
        <w:t xml:space="preserve"> </w:t>
      </w:r>
      <w:r>
        <w:t xml:space="preserve">similarly</w:t>
      </w:r>
      <w:r>
        <w:t xml:space="preserve"> </w:t>
      </w:r>
      <w:r>
        <w:t xml:space="preserve">to</w:t>
      </w:r>
      <w:r>
        <w:t xml:space="preserve"> </w:t>
      </w:r>
      <w:r>
        <w:t xml:space="preserve">their</w:t>
      </w:r>
      <w:r>
        <w:t xml:space="preserve"> </w:t>
      </w:r>
      <w:r>
        <w:t xml:space="preserve">straight</w:t>
      </w:r>
      <w:r>
        <w:t xml:space="preserve"> </w:t>
      </w:r>
      <w:r>
        <w:t xml:space="preserve">immigrant</w:t>
      </w:r>
      <w:r>
        <w:t xml:space="preserve"> </w:t>
      </w:r>
      <w:r>
        <w:t xml:space="preserve">counterparts</w:t>
      </w:r>
      <w:r>
        <w:t xml:space="preserve"> </w:t>
      </w:r>
      <w:r>
        <w:t xml:space="preserve">and</w:t>
      </w:r>
      <w:r>
        <w:t xml:space="preserve"> </w:t>
      </w:r>
      <w:r>
        <w:t xml:space="preserve">locate</w:t>
      </w:r>
      <w:r>
        <w:t xml:space="preserve"> </w:t>
      </w:r>
      <w:r>
        <w:t xml:space="preserve">based</w:t>
      </w:r>
      <w:r>
        <w:t xml:space="preserve"> </w:t>
      </w:r>
      <w:r>
        <w:t xml:space="preserve">on</w:t>
      </w:r>
      <w:r>
        <w:t xml:space="preserve"> </w:t>
      </w:r>
      <w:r>
        <w:t xml:space="preserve">job</w:t>
      </w:r>
      <w:r>
        <w:t xml:space="preserve"> </w:t>
      </w:r>
      <w:r>
        <w:t xml:space="preserve">opportunities</w:t>
      </w:r>
      <w:r>
        <w:t xml:space="preserve"> </w:t>
      </w:r>
      <w:r>
        <w:t xml:space="preserve">and</w:t>
      </w:r>
      <w:r>
        <w:t xml:space="preserve"> </w:t>
      </w:r>
      <w:r>
        <w:t xml:space="preserve">cost</w:t>
      </w:r>
      <w:r>
        <w:t xml:space="preserve"> </w:t>
      </w:r>
      <w:r>
        <w:t xml:space="preserve">of</w:t>
      </w:r>
      <w:r>
        <w:t xml:space="preserve"> </w:t>
      </w:r>
      <w:r>
        <w:t xml:space="preserve">living?</w:t>
      </w:r>
      <w:r>
        <w:t xml:space="preserve"> </w:t>
      </w:r>
      <w:r>
        <w:t xml:space="preserve">Or</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more</w:t>
      </w:r>
      <w:r>
        <w:t xml:space="preserve"> </w:t>
      </w:r>
      <w:r>
        <w:t xml:space="preserve">queer-friendly</w:t>
      </w:r>
      <w:r>
        <w:t xml:space="preserve"> </w:t>
      </w:r>
      <w:r>
        <w:t xml:space="preserve">cities</w:t>
      </w:r>
      <w:r>
        <w:t xml:space="preserve"> </w:t>
      </w:r>
      <w:r>
        <w:t xml:space="preserve">and</w:t>
      </w:r>
      <w:r>
        <w:t xml:space="preserve"> </w:t>
      </w:r>
      <w:r>
        <w:t xml:space="preserve">states,</w:t>
      </w:r>
      <w:r>
        <w:t xml:space="preserve"> </w:t>
      </w:r>
      <w:r>
        <w:t xml:space="preserve">as</w:t>
      </w:r>
      <w:r>
        <w:t xml:space="preserve"> </w:t>
      </w:r>
      <w:r>
        <w:t xml:space="preserve">U.S.-born</w:t>
      </w:r>
      <w:r>
        <w:t xml:space="preserve"> </w:t>
      </w:r>
      <w:r>
        <w:t xml:space="preserve">LGB</w:t>
      </w:r>
      <w:r>
        <w:t xml:space="preserve"> </w:t>
      </w:r>
      <w:r>
        <w:t xml:space="preserve">people</w:t>
      </w:r>
      <w:r>
        <w:t xml:space="preserve"> </w:t>
      </w:r>
      <w:r>
        <w:t xml:space="preserve">do?</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response</w:t>
      </w:r>
      <w:r>
        <w:t xml:space="preserve"> </w:t>
      </w:r>
      <w:r>
        <w:t xml:space="preserve">to</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queer</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2008-2022</w:t>
      </w:r>
      <w:r>
        <w:t xml:space="preserve"> </w:t>
      </w:r>
      <w:r>
        <w:t xml:space="preserve">and</w:t>
      </w:r>
      <w:r>
        <w:t xml:space="preserve"> </w:t>
      </w:r>
      <w:r>
        <w:t xml:space="preserve">original</w:t>
      </w:r>
      <w:r>
        <w:t xml:space="preserve"> </w:t>
      </w:r>
      <w:r>
        <w:t xml:space="preserve">datasets,</w:t>
      </w:r>
      <w:r>
        <w:t xml:space="preserve"> </w:t>
      </w:r>
      <w:r>
        <w:t xml:space="preserve">this</w:t>
      </w:r>
      <w:r>
        <w:t xml:space="preserve"> </w:t>
      </w:r>
      <w:r>
        <w:t xml:space="preserve">paper</w:t>
      </w:r>
      <w:r>
        <w:t xml:space="preserve"> </w:t>
      </w:r>
      <w:r>
        <w:t xml:space="preserve">implements</w:t>
      </w:r>
      <w:r>
        <w:t xml:space="preserve"> </w:t>
      </w:r>
      <w:r>
        <w:t xml:space="preserve">descriptive</w:t>
      </w:r>
      <w:r>
        <w:t xml:space="preserve"> </w:t>
      </w:r>
      <w:r>
        <w:t xml:space="preserve">analyses</w:t>
      </w:r>
      <w:r>
        <w:t xml:space="preserve"> </w:t>
      </w:r>
      <w:r>
        <w:t xml:space="preserve">and</w:t>
      </w:r>
      <w:r>
        <w:t xml:space="preserve"> </w:t>
      </w:r>
      <w:r>
        <w:t xml:space="preserve">quasi-Poisson</w:t>
      </w:r>
      <w:r>
        <w:t xml:space="preserve"> </w:t>
      </w:r>
      <w:r>
        <w:t xml:space="preserve">models</w:t>
      </w:r>
      <w:r>
        <w:t xml:space="preserve"> </w:t>
      </w:r>
      <w:r>
        <w:t xml:space="preserve">to</w:t>
      </w:r>
      <w:r>
        <w:t xml:space="preserve"> </w:t>
      </w:r>
      <w:r>
        <w:t xml:space="preserve">study</w:t>
      </w:r>
      <w:r>
        <w:t xml:space="preserve"> </w:t>
      </w:r>
      <w:r>
        <w:t xml:space="preserve">how</w:t>
      </w:r>
      <w:r>
        <w:t xml:space="preserve"> </w:t>
      </w:r>
      <w:r>
        <w:t xml:space="preserve">settlement</w:t>
      </w:r>
      <w:r>
        <w:t xml:space="preserve"> </w:t>
      </w:r>
      <w:r>
        <w:t xml:space="preserve">patterns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respond</w:t>
      </w:r>
      <w:r>
        <w:t xml:space="preserve"> </w:t>
      </w:r>
      <w:r>
        <w:t xml:space="preserve">to</w:t>
      </w:r>
      <w:r>
        <w:t xml:space="preserve"> </w:t>
      </w:r>
      <w:r>
        <w:t xml:space="preserve">local</w:t>
      </w:r>
      <w:r>
        <w:t xml:space="preserve"> </w:t>
      </w:r>
      <w:r>
        <w:t xml:space="preserve">and</w:t>
      </w:r>
      <w:r>
        <w:t xml:space="preserve"> </w:t>
      </w:r>
      <w:r>
        <w:t xml:space="preserve">national</w:t>
      </w:r>
      <w:r>
        <w:t xml:space="preserve"> </w:t>
      </w:r>
      <w:r>
        <w:t xml:space="preserve">policy</w:t>
      </w:r>
      <w:r>
        <w:t xml:space="preserve"> </w:t>
      </w:r>
      <w:r>
        <w:t xml:space="preserve">changes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local</w:t>
      </w:r>
      <w:r>
        <w:t xml:space="preserve"> </w:t>
      </w:r>
      <w:r>
        <w:t xml:space="preserve">sociodemographic</w:t>
      </w:r>
      <w:r>
        <w:t xml:space="preserve"> </w:t>
      </w:r>
      <w:r>
        <w:t xml:space="preserve">and</w:t>
      </w:r>
      <w:r>
        <w:t xml:space="preserve"> </w:t>
      </w:r>
      <w:r>
        <w:t xml:space="preserve">economic</w:t>
      </w:r>
      <w:r>
        <w:t xml:space="preserve"> </w:t>
      </w:r>
      <w:r>
        <w:t xml:space="preserve">factors.</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distribution</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is</w:t>
      </w:r>
      <w:r>
        <w:t xml:space="preserve"> </w:t>
      </w:r>
      <w:r>
        <w:t xml:space="preserve">expanding</w:t>
      </w:r>
      <w:r>
        <w:t xml:space="preserve"> </w:t>
      </w:r>
      <w:r>
        <w:t xml:space="preserve">across</w:t>
      </w:r>
      <w:r>
        <w:t xml:space="preserve"> </w:t>
      </w:r>
      <w:r>
        <w:t xml:space="preserve">the</w:t>
      </w:r>
      <w:r>
        <w:t xml:space="preserve"> </w:t>
      </w:r>
      <w:r>
        <w:t xml:space="preserve">U.S.</w:t>
      </w:r>
      <w:r>
        <w:t xml:space="preserve"> </w:t>
      </w:r>
      <w:r>
        <w:t xml:space="preserve">over</w:t>
      </w:r>
      <w:r>
        <w:t xml:space="preserve"> </w:t>
      </w:r>
      <w:r>
        <w:t xml:space="preserve">time.</w:t>
      </w:r>
      <w:r>
        <w:t xml:space="preserve"> </w:t>
      </w:r>
      <w:r>
        <w:t xml:space="preserve">These</w:t>
      </w:r>
      <w:r>
        <w:t xml:space="preserve"> </w:t>
      </w:r>
      <w:r>
        <w:t xml:space="preserve">settlement</w:t>
      </w:r>
      <w:r>
        <w:t xml:space="preserve"> </w:t>
      </w:r>
      <w:r>
        <w:t xml:space="preserve">patterns</w:t>
      </w:r>
      <w:r>
        <w:t xml:space="preserve"> </w:t>
      </w:r>
      <w:r>
        <w:t xml:space="preserve">generally</w:t>
      </w:r>
      <w:r>
        <w:t xml:space="preserve"> </w:t>
      </w:r>
      <w:r>
        <w:t xml:space="preserve">look</w:t>
      </w:r>
      <w:r>
        <w:t xml:space="preserve"> </w:t>
      </w:r>
      <w:r>
        <w:t xml:space="preserve">more</w:t>
      </w:r>
      <w:r>
        <w:t xml:space="preserve"> </w:t>
      </w:r>
      <w:r>
        <w:t xml:space="preserve">similar</w:t>
      </w:r>
      <w:r>
        <w:t xml:space="preserve"> </w:t>
      </w:r>
      <w:r>
        <w:t xml:space="preserve">to</w:t>
      </w:r>
      <w:r>
        <w:t xml:space="preserve"> </w:t>
      </w:r>
      <w:r>
        <w:t xml:space="preserve">fellow</w:t>
      </w:r>
      <w:r>
        <w:t xml:space="preserve"> </w:t>
      </w:r>
      <w:r>
        <w:t xml:space="preserve">U.S.-born</w:t>
      </w:r>
      <w:r>
        <w:t xml:space="preserve"> </w:t>
      </w:r>
      <w:r>
        <w:t xml:space="preserve">LGB</w:t>
      </w:r>
      <w:r>
        <w:t xml:space="preserve"> </w:t>
      </w:r>
      <w:r>
        <w:t xml:space="preserve">Americans:</w:t>
      </w:r>
      <w:r>
        <w:t xml:space="preserve"> </w:t>
      </w:r>
      <w:r>
        <w:t xml:space="preserve">locations</w:t>
      </w:r>
      <w:r>
        <w:t xml:space="preserve"> </w:t>
      </w:r>
      <w:r>
        <w:t xml:space="preserve">with</w:t>
      </w:r>
      <w:r>
        <w:t xml:space="preserve"> </w:t>
      </w:r>
      <w:r>
        <w:t xml:space="preserve">higher</w:t>
      </w:r>
      <w:r>
        <w:t xml:space="preserve"> </w:t>
      </w:r>
      <w:r>
        <w:t xml:space="preserve">concentrations</w:t>
      </w:r>
      <w:r>
        <w:t xml:space="preserve"> </w:t>
      </w:r>
      <w:r>
        <w:t xml:space="preserve">are</w:t>
      </w:r>
      <w:r>
        <w:t xml:space="preserve"> </w:t>
      </w:r>
      <w:r>
        <w:t xml:space="preserve">more</w:t>
      </w:r>
      <w:r>
        <w:t xml:space="preserve"> </w:t>
      </w:r>
      <w:r>
        <w:t xml:space="preserve">progressive,</w:t>
      </w:r>
      <w:r>
        <w:t xml:space="preserve"> </w:t>
      </w:r>
      <w:r>
        <w:t xml:space="preserve">have</w:t>
      </w:r>
      <w:r>
        <w:t xml:space="preserve"> </w:t>
      </w:r>
      <w:r>
        <w:t xml:space="preserve">more</w:t>
      </w:r>
      <w:r>
        <w:t xml:space="preserve"> </w:t>
      </w:r>
      <w:r>
        <w:t xml:space="preserve">robust</w:t>
      </w:r>
      <w:r>
        <w:t xml:space="preserve"> </w:t>
      </w:r>
      <w:r>
        <w:t xml:space="preserve">LGBTQ+</w:t>
      </w:r>
      <w:r>
        <w:t xml:space="preserve"> </w:t>
      </w:r>
      <w:r>
        <w:t xml:space="preserve">civic</w:t>
      </w:r>
      <w:r>
        <w:t xml:space="preserve"> </w:t>
      </w:r>
      <w:r>
        <w:t xml:space="preserve">life,</w:t>
      </w:r>
      <w:r>
        <w:t xml:space="preserve"> </w:t>
      </w:r>
      <w:r>
        <w:t xml:space="preserve">and</w:t>
      </w:r>
      <w:r>
        <w:t xml:space="preserve"> </w:t>
      </w:r>
      <w:r>
        <w:t xml:space="preserve">have</w:t>
      </w:r>
      <w:r>
        <w:t xml:space="preserve"> </w:t>
      </w:r>
      <w:r>
        <w:t xml:space="preserve">higher</w:t>
      </w:r>
      <w:r>
        <w:t xml:space="preserve"> </w:t>
      </w:r>
      <w:r>
        <w:t xml:space="preserve">incomes.</w:t>
      </w:r>
      <w:r>
        <w:t xml:space="preserve"> </w:t>
      </w:r>
      <w:r>
        <w:t xml:space="preserve">Yet</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also</w:t>
      </w:r>
      <w:r>
        <w:t xml:space="preserve"> </w:t>
      </w:r>
      <w:r>
        <w:t xml:space="preserve">live</w:t>
      </w:r>
      <w:r>
        <w:t xml:space="preserve"> </w:t>
      </w:r>
      <w:r>
        <w:t xml:space="preserve">in</w:t>
      </w:r>
      <w:r>
        <w:t xml:space="preserve"> </w:t>
      </w:r>
      <w:r>
        <w:t xml:space="preserve">more</w:t>
      </w:r>
      <w:r>
        <w:t xml:space="preserve"> </w:t>
      </w:r>
      <w:r>
        <w:t xml:space="preserve">racially</w:t>
      </w:r>
      <w:r>
        <w:t xml:space="preserve"> </w:t>
      </w:r>
      <w:r>
        <w:t xml:space="preserve">and</w:t>
      </w:r>
      <w:r>
        <w:t xml:space="preserve"> </w:t>
      </w:r>
      <w:r>
        <w:t xml:space="preserve">ethnically</w:t>
      </w:r>
      <w:r>
        <w:t xml:space="preserve"> </w:t>
      </w:r>
      <w:r>
        <w:t xml:space="preserve">diverse</w:t>
      </w:r>
      <w:r>
        <w:t xml:space="preserve"> </w:t>
      </w:r>
      <w:r>
        <w:t xml:space="preserve">areas</w:t>
      </w:r>
      <w:r>
        <w:t xml:space="preserve"> </w:t>
      </w:r>
      <w:r>
        <w:t xml:space="preserve">compared</w:t>
      </w:r>
      <w:r>
        <w:t xml:space="preserve"> </w:t>
      </w:r>
      <w:r>
        <w:t xml:space="preserve">to</w:t>
      </w:r>
      <w:r>
        <w:t xml:space="preserve"> </w:t>
      </w:r>
      <w:r>
        <w:t xml:space="preserve">U.S.-born</w:t>
      </w:r>
      <w:r>
        <w:t xml:space="preserve"> </w:t>
      </w:r>
      <w:r>
        <w:t xml:space="preserve">Americans</w:t>
      </w:r>
      <w:r>
        <w:t xml:space="preserve"> </w:t>
      </w:r>
      <w:r>
        <w:t xml:space="preserve">in</w:t>
      </w:r>
      <w:r>
        <w:t xml:space="preserve"> </w:t>
      </w:r>
      <w:r>
        <w:t xml:space="preserve">same-sex</w:t>
      </w:r>
      <w:r>
        <w:t xml:space="preserve"> </w:t>
      </w:r>
      <w:r>
        <w:t xml:space="preserve">couples.</w:t>
      </w:r>
      <w:r>
        <w:t xml:space="preserve"> </w:t>
      </w:r>
      <w:r>
        <w:t xml:space="preserve">Our</w:t>
      </w:r>
      <w:r>
        <w:t xml:space="preserve"> </w:t>
      </w:r>
      <w:r>
        <w:t xml:space="preserve">findings</w:t>
      </w:r>
      <w:r>
        <w:t xml:space="preserve"> </w:t>
      </w:r>
      <w:r>
        <w:t xml:space="preserve">contribute</w:t>
      </w:r>
      <w:r>
        <w:t xml:space="preserve"> </w:t>
      </w:r>
      <w:r>
        <w:t xml:space="preserve">to</w:t>
      </w:r>
      <w:r>
        <w:t xml:space="preserve"> </w:t>
      </w:r>
      <w:r>
        <w:t xml:space="preserve">a</w:t>
      </w:r>
      <w:r>
        <w:t xml:space="preserve"> </w:t>
      </w:r>
      <w:r>
        <w:t xml:space="preserve">fuller</w:t>
      </w:r>
      <w:r>
        <w:t xml:space="preserve"> </w:t>
      </w:r>
      <w:r>
        <w:t xml:space="preserve">understanding</w:t>
      </w:r>
      <w:r>
        <w:t xml:space="preserve"> </w:t>
      </w:r>
      <w:r>
        <w:t xml:space="preserve">of</w:t>
      </w:r>
      <w:r>
        <w:t xml:space="preserve"> </w:t>
      </w:r>
      <w:r>
        <w:t xml:space="preserve">this</w:t>
      </w:r>
      <w:r>
        <w:t xml:space="preserve"> </w:t>
      </w:r>
      <w:r>
        <w:t xml:space="preserve">rapidly</w:t>
      </w:r>
      <w:r>
        <w:t xml:space="preserve"> </w:t>
      </w:r>
      <w:r>
        <w:t xml:space="preserve">growing</w:t>
      </w:r>
      <w:r>
        <w:t xml:space="preserve"> </w:t>
      </w:r>
      <w:r>
        <w:t xml:space="preserve">population</w:t>
      </w:r>
      <w:r>
        <w:t xml:space="preserve"> </w:t>
      </w:r>
      <w:r>
        <w:t xml:space="preserve">and</w:t>
      </w:r>
      <w:r>
        <w:t xml:space="preserve"> </w:t>
      </w:r>
      <w:r>
        <w:t xml:space="preserve">under</w:t>
      </w:r>
      <w:r>
        <w:t xml:space="preserve"> </w:t>
      </w:r>
      <w:r>
        <w:t xml:space="preserve">which</w:t>
      </w:r>
      <w:r>
        <w:t xml:space="preserve"> </w:t>
      </w:r>
      <w:r>
        <w:t xml:space="preserve">conditions</w:t>
      </w:r>
      <w:r>
        <w:t xml:space="preserve"> </w:t>
      </w:r>
      <w:r>
        <w:t xml:space="preserve">they</w:t>
      </w:r>
      <w:r>
        <w:t xml:space="preserve"> </w:t>
      </w:r>
      <w:r>
        <w:t xml:space="preserve">may</w:t>
      </w:r>
      <w:r>
        <w:t xml:space="preserve"> </w:t>
      </w:r>
      <w:r>
        <w:t xml:space="preserve">behave</w:t>
      </w:r>
      <w:r>
        <w:t xml:space="preserve"> </w:t>
      </w:r>
      <w:r>
        <w:t xml:space="preserve">more</w:t>
      </w:r>
      <w:r>
        <w:t xml:space="preserve"> </w:t>
      </w:r>
      <w:r>
        <w:t xml:space="preserve">similarly</w:t>
      </w:r>
      <w:r>
        <w:t xml:space="preserve"> </w:t>
      </w:r>
      <w:r>
        <w:t xml:space="preserve">to</w:t>
      </w:r>
      <w:r>
        <w:t xml:space="preserve"> </w:t>
      </w:r>
      <w:r>
        <w:t xml:space="preserve">their</w:t>
      </w:r>
      <w:r>
        <w:t xml:space="preserve"> </w:t>
      </w:r>
      <w:r>
        <w:t xml:space="preserve">fellow</w:t>
      </w:r>
      <w:r>
        <w:t xml:space="preserve"> </w:t>
      </w:r>
      <w:r>
        <w:t xml:space="preserve">migrants,</w:t>
      </w:r>
      <w:r>
        <w:t xml:space="preserve"> </w:t>
      </w:r>
      <w:r>
        <w:t xml:space="preserve">their</w:t>
      </w:r>
      <w:r>
        <w:t xml:space="preserve"> </w:t>
      </w:r>
      <w:r>
        <w:t xml:space="preserve">fellow</w:t>
      </w:r>
      <w:r>
        <w:t xml:space="preserve"> </w:t>
      </w:r>
      <w:r>
        <w:t xml:space="preserve">sexual</w:t>
      </w:r>
      <w:r>
        <w:t xml:space="preserve"> </w:t>
      </w:r>
      <w:r>
        <w:t xml:space="preserve">minorities,</w:t>
      </w:r>
      <w:r>
        <w:t xml:space="preserve"> </w:t>
      </w:r>
      <w:r>
        <w:t xml:space="preserve">or</w:t>
      </w:r>
      <w:r>
        <w:t xml:space="preserve"> </w:t>
      </w:r>
      <w:r>
        <w:t xml:space="preserve">as</w:t>
      </w:r>
      <w:r>
        <w:t xml:space="preserve"> </w:t>
      </w:r>
      <w:r>
        <w:t xml:space="preserve">a</w:t>
      </w:r>
      <w:r>
        <w:t xml:space="preserve"> </w:t>
      </w:r>
      <w:r>
        <w:t xml:space="preserve">distinct</w:t>
      </w:r>
      <w:r>
        <w:t xml:space="preserve"> </w:t>
      </w:r>
      <w:r>
        <w:t xml:space="preserve">population</w:t>
      </w:r>
      <w:r>
        <w:t xml:space="preserve"> </w:t>
      </w:r>
      <w:r>
        <w:t xml:space="preserve">all</w:t>
      </w:r>
      <w:r>
        <w:t xml:space="preserve"> </w:t>
      </w:r>
      <w:r>
        <w:t xml:space="preserve">their</w:t>
      </w:r>
      <w:r>
        <w:t xml:space="preserve"> </w:t>
      </w:r>
      <w:r>
        <w:t xml:space="preserve">own.xx</w:t>
      </w:r>
    </w:p>
    <w:bookmarkStart w:id="20" w:name="introduction"/>
    <w:p>
      <w:pPr>
        <w:pStyle w:val="Heading1"/>
      </w:pPr>
      <w:r>
        <w:t xml:space="preserve">Introduction</w:t>
      </w:r>
    </w:p>
    <w:p>
      <w:pPr>
        <w:pStyle w:val="FirstParagraph"/>
      </w:pPr>
      <w:r>
        <w:t xml:space="preserve">Test. Changing policy landscapes around same-sex marriage are salient factors influencing migration and settlement decisions, including both asylees seeking refuge from repressive contexts</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r>
        <w:t xml:space="preserve">and also for elite queer migrants</w:t>
      </w:r>
      <w:r>
        <w:t xml:space="preserve"> </w:t>
      </w:r>
      <w:r>
        <w:t xml:space="preserve">(</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One notable policy change in this area came in 2013, when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and bisexual (LGB)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containing immigrants increased by 22 percent from 2008 to 2019 (from 7.8 million to 9.5 million), while those of corresponding same-sex couples grew by 140 percent in the same period (from 44 thousand to 107 thousand).</w:t>
      </w:r>
    </w:p>
    <w:p>
      <w:pPr>
        <w:pStyle w:val="BodyText"/>
      </w:pPr>
      <w:r>
        <w:t xml:space="preserve">Despite this work, little is known on</w:t>
      </w:r>
      <w:r>
        <w:t xml:space="preserve"> </w:t>
      </w:r>
      <w:r>
        <w:rPr>
          <w:iCs/>
          <w:i/>
        </w:rPr>
        <w:t xml:space="preserve">where</w:t>
      </w:r>
      <w:r>
        <w:t xml:space="preserve"> </w:t>
      </w:r>
      <w:r>
        <w:t xml:space="preserve">LGB migrants tend to settle after they arrive in the U.S. In the wake of the DOMA decision, where do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In their patterns of settlement, are LGB migrants more like migrants more broadly, or more like LGB Americans?</w:t>
      </w:r>
    </w:p>
    <w:p>
      <w:pPr>
        <w:pStyle w:val="BodyText"/>
      </w:pPr>
      <w:r>
        <w:t xml:space="preserve">Using American Community Survey data from 2008-2022, this paper implements descriptive and regression analyses to study how settlement patterns of immigrants in same-sex couples in the U.S. respond to local and national policy changes as well as other local factors. Results suggest that the distribution of immigrants in same-sex couples is expanding across the U.S. over time. These settlement patterns generally look more similar to fellow U.S.-born LGB Americans: locations with higher concentrations are more progressive, have more robust LGBTQ+ civic life, and have higher incomes. Yet one important contrast is that immigrants in same-sex couples also live in more racially and ethnically diverse areas compared to U.S.-born LGB Americans in same-sex couples. Our findings contribute to a fuller understanding of how this rapidly growing population and under which conditions they may behave more similarly to their fellow migrants, their fellow sexual minorities, or as a distinct population all their own.</w:t>
      </w:r>
    </w:p>
    <w:bookmarkEnd w:id="20"/>
    <w:bookmarkStart w:id="23" w:name="background"/>
    <w:p>
      <w:pPr>
        <w:pStyle w:val="Heading1"/>
      </w:pPr>
      <w:r>
        <w:t xml:space="preserve">Background</w:t>
      </w:r>
    </w:p>
    <w:p>
      <w:pPr>
        <w:pStyle w:val="FirstParagraph"/>
      </w:pPr>
      <w:r>
        <w:t xml:space="preserve">There is great interest in residential equity and the geographic distribution of people living in the United States. These spatial patterns are linked to a variety of important demographic and social outcomes like health and well-being, exposure to environmental and social hazards, access to quality of education, and social capital, among others. For immigrants, there is often an additional interest as variation in distribution can reveal the types and characteristics of immigrants entering the U.S. and indicate patterns of integration and assimilation into the dominant society. Questions of segregation are also relevant for non-immigrant populations. This is especially true for LGBTQ+ populations as research consistently shows a concentration into neighborhood enclaves, i.e.,</w:t>
      </w:r>
      <w:r>
        <w:t xml:space="preserve"> </w:t>
      </w:r>
      <w:r>
        <w:t xml:space="preserve">“</w:t>
      </w:r>
      <w:r>
        <w:t xml:space="preserve">gayborhoods,</w:t>
      </w:r>
      <w:r>
        <w:t xml:space="preserve">”</w:t>
      </w:r>
      <w:r>
        <w:t xml:space="preserve"> </w:t>
      </w:r>
      <w:r>
        <w:t xml:space="preserve">but this concentration is declining – perhaps indicating greater social acceptance as LGBTQ+ individuals integrate further other areas</w:t>
      </w:r>
      <w:r>
        <w:t xml:space="preserve"> </w:t>
      </w:r>
      <w:r>
        <w:t xml:space="preserve">(</w:t>
      </w:r>
      <w:hyperlink w:anchor="ref-spring_2024_new">
        <w:r>
          <w:rPr>
            <w:rStyle w:val="Hyperlink"/>
          </w:rPr>
          <w:t xml:space="preserve">A. Spring and Ghaziani 2024</w:t>
        </w:r>
      </w:hyperlink>
      <w:r>
        <w:t xml:space="preserve">)</w:t>
      </w:r>
      <w:r>
        <w:t xml:space="preserve">. Here, we combine these two often distinct literatures, one on immigrant settlement patterns and the other on LGBTQ+ residential patterns, to understand where immigrants in same-sex relationships live in the United States. We focus on this new, burgeoning population, as little prior work has been done in understanding these patterns</w:t>
      </w:r>
      <w:r>
        <w:t xml:space="preserve"> </w:t>
      </w:r>
      <w:r>
        <w:t xml:space="preserve">(</w:t>
      </w:r>
      <w:hyperlink w:anchor="ref-hoffmann_2023_sexuality">
        <w:r>
          <w:rPr>
            <w:rStyle w:val="Hyperlink"/>
          </w:rPr>
          <w:t xml:space="preserve">Hoffmann and Velasco 2023</w:t>
        </w:r>
      </w:hyperlink>
      <w:r>
        <w:t xml:space="preserve">)</w:t>
      </w:r>
      <w:r>
        <w:t xml:space="preserve">. Therefore, this lets us investigate whether the residential distribution of immigrants in same-sex couples adheres most similarly to their co-migrants or, instead, to their U.S.-born counterparts.</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explaining the settlement patterns of migrants. The theories of choice of destination within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effects highlights the importance of migrant networks that share information and resources to lower the cost of migration and settling in the destination</w:t>
      </w:r>
      <w:r>
        <w:t xml:space="preserve"> </w:t>
      </w:r>
      <w:r>
        <w:t xml:space="preserve">(</w:t>
      </w:r>
      <w:hyperlink w:anchor="ref-massey_1987">
        <w:r>
          <w:rPr>
            <w:rStyle w:val="Hyperlink"/>
          </w:rPr>
          <w:t xml:space="preserve">Massey et al. 1987</w:t>
        </w:r>
      </w:hyperlink>
      <w:r>
        <w:t xml:space="preserve">)</w:t>
      </w:r>
      <w:r>
        <w:t xml:space="preserve">. Relatedly,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within the United States.</w:t>
      </w:r>
    </w:p>
    <w:p>
      <w:pPr>
        <w:pStyle w:val="BodyText"/>
      </w:pPr>
      <w:r>
        <w:t xml:space="preserve">Settlement also varies by individual characteristics of immigrants. For Latino immigrants,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for immigrants more broadly, with migrants more likely to live among the U.S.-born when they have been in the U.S. longer, have higher earnings, and own a home.</w:t>
      </w:r>
    </w:p>
    <w:p>
      <w:pPr>
        <w:pStyle w:val="BodyText"/>
      </w:pPr>
      <w:r>
        <w:t xml:space="preserve">In recent years, scholars have turned to studying so-called</w:t>
      </w:r>
      <w:r>
        <w:t xml:space="preserve"> </w:t>
      </w:r>
      <w:r>
        <w:t xml:space="preserve">“</w:t>
      </w:r>
      <w:r>
        <w:t xml:space="preserve">new</w:t>
      </w:r>
      <w:r>
        <w:t xml:space="preserve">”</w:t>
      </w:r>
      <w:r>
        <w:t xml:space="preserve"> </w:t>
      </w:r>
      <w:r>
        <w:t xml:space="preserve">immigrant destinations in the U.S. In the age of massive migration in the late 1800s and early 1900s, immigrants from Europe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 populations in the U.S., generally, and same-sex couples, specifically. Similar to settlement patterns of migrants, LGB Americans are also influenced by the role of economic conditions in their settlement patterns. For example, those in same-sex couples are generally found to be in areas with greater socioeconomic conditions, like more college-educated individuals, higher property values, and access to greater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relatively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Network effects appear to also be in play as a consistent finding shows that those in same-sex couples are often located in areas with high concentrations of other same-sex couples – similar to other ethnic and migrant enclaves. This clustering may help protect same-sex couples from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Because of this concentration, though, a significant amount of research on residential patterns of same-sex couples focuses on their relative concentration in particular urban gayborhoods</w:t>
      </w:r>
      <w:r>
        <w:t xml:space="preserve"> </w:t>
      </w:r>
      <w:r>
        <w:t xml:space="preserve">(</w:t>
      </w:r>
      <w:hyperlink w:anchor="ref-ghaziani_2016_there">
        <w:r>
          <w:rPr>
            <w:rStyle w:val="Hyperlink"/>
          </w:rPr>
          <w:t xml:space="preserve">Ghaziani 2016</w:t>
        </w:r>
      </w:hyperlink>
      <w:r>
        <w:t xml:space="preserve">)</w:t>
      </w:r>
      <w:r>
        <w:t xml:space="preserve">. By extension, this urban-focused set of studies looks at transformations of gayborhoods and changes in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one distinct characteristic is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Taken together, these trends have often emphasized same-sex couples living in urban gayborhoods with access to (relatively) more progressive legal environments. But both changes in demographic trends and academic attention have shifted greater attention to LGB individuals and same-sex couples living beyond these particular locales. From 2000 to 2010 and then continuing to 2020, the concentration of same-sex couples into their own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These trends have invited additional research to understand the spread of same-sex couples into suburban and rural localities. For example, some find that same-sex couples leave urban centers due to rising housing values, patterns of poverty, and discriminatory lending practices encourage dispersion of the population</w:t>
      </w:r>
      <w:r>
        <w:t xml:space="preserve"> </w:t>
      </w:r>
      <w:r>
        <w:t xml:space="preserve">(</w:t>
      </w:r>
      <w:hyperlink w:anchor="ref-spring_2024_new">
        <w:r>
          <w:rPr>
            <w:rStyle w:val="Hyperlink"/>
          </w:rPr>
          <w:t xml:space="preserve">A. Spring and Ghaziani 2024</w:t>
        </w:r>
      </w:hyperlink>
      <w:r>
        <w:t xml:space="preserve">)</w:t>
      </w:r>
      <w:r>
        <w:t xml:space="preserve">. These trends also underscore the argument made by</w:t>
      </w:r>
      <w:r>
        <w:t xml:space="preserve"> </w:t>
      </w:r>
      <w:r>
        <w:t xml:space="preserve">Stone (</w:t>
      </w:r>
      <w:hyperlink w:anchor="ref-stone_2018_geography">
        <w:r>
          <w:rPr>
            <w:rStyle w:val="Hyperlink"/>
          </w:rPr>
          <w:t xml:space="preserve">2018</w:t>
        </w:r>
      </w:hyperlink>
      <w:r>
        <w:t xml:space="preserve">)</w:t>
      </w:r>
      <w:r>
        <w:t xml:space="preserve"> </w:t>
      </w:r>
      <w:r>
        <w:t xml:space="preserve">that researchers of LGBTQ+ geography need to look beyond the</w:t>
      </w:r>
      <w:r>
        <w:t xml:space="preserve"> </w:t>
      </w:r>
      <w:r>
        <w:t xml:space="preserve">“</w:t>
      </w:r>
      <w:r>
        <w:t xml:space="preserve">great cities</w:t>
      </w:r>
      <w:r>
        <w:t xml:space="preserve">”</w:t>
      </w:r>
      <w:r>
        <w:t xml:space="preserve"> </w:t>
      </w:r>
      <w:r>
        <w:t xml:space="preserve">and toward more ordinary cities, the South, and rural locales. Indeed, same-sex couples’ increasing representation in red states and rural counties may underscore the increasing acceptance and social integration of these unions across the country</w:t>
      </w:r>
      <w:r>
        <w:t xml:space="preserve"> </w:t>
      </w:r>
      <w:r>
        <w:t xml:space="preserve">(</w:t>
      </w:r>
      <w:hyperlink w:anchor="ref-marino_2024_visualizing">
        <w:r>
          <w:rPr>
            <w:rStyle w:val="Hyperlink"/>
          </w:rPr>
          <w:t xml:space="preserve">Marino et al. 2024</w:t>
        </w:r>
      </w:hyperlink>
      <w:r>
        <w:t xml:space="preserve">)</w:t>
      </w:r>
      <w:r>
        <w:t xml:space="preserve">.</w:t>
      </w:r>
    </w:p>
    <w:p>
      <w:pPr>
        <w:pStyle w:val="BodyText"/>
      </w:pPr>
      <w:r>
        <w:t xml:space="preserve">Unfortunately, data on LGBTQ+ residential location in the United States is quite limited. Reliance on data from the decennial census and the American Community Survey have necessarily constrained insights to those in cohabiting, same-sex couples. There has also been a bias to examine only urban residential patterns, despite increased settlement into suburban and rural locations</w:t>
      </w:r>
      <w:r>
        <w:t xml:space="preserve"> </w:t>
      </w:r>
      <w:r>
        <w:t xml:space="preserve">(</w:t>
      </w:r>
      <w:hyperlink w:anchor="ref-marino_2024_visualizing">
        <w:r>
          <w:rPr>
            <w:rStyle w:val="Hyperlink"/>
          </w:rPr>
          <w:t xml:space="preserve">Marino et al. 2024</w:t>
        </w:r>
      </w:hyperlink>
      <w:r>
        <w:t xml:space="preserve">)</w:t>
      </w:r>
      <w:r>
        <w:t xml:space="preserve">. More research is needed, then, to understand patterns at lower levels of aggregation</w:t>
      </w:r>
      <w:r>
        <w:t xml:space="preserve"> </w:t>
      </w:r>
      <w:r>
        <w:t xml:space="preserve">(</w:t>
      </w:r>
      <w:hyperlink w:anchor="ref-spring_2024_new">
        <w:r>
          <w:rPr>
            <w:rStyle w:val="Hyperlink"/>
          </w:rPr>
          <w:t xml:space="preserve">A. Spring and Ghaziani 2024</w:t>
        </w:r>
      </w:hyperlink>
      <w:r>
        <w:t xml:space="preserve">)</w:t>
      </w:r>
      <w:r>
        <w:t xml:space="preserve">.</w:t>
      </w:r>
    </w:p>
    <w:p>
      <w:pPr>
        <w:pStyle w:val="BodyText"/>
      </w:pPr>
      <w:r>
        <w:t xml:space="preserve">Additionally, this research on same-sex couples typically assumes all respondents are U.S.-born Americans. Consequently, it is unknown whether the patterns exhibited here are in any way reflective of immigrants in similar unions.</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show that, compared to immigrants in different-sex couples, those in same-sex couples come from richer, more democratic, and more LGB-friendly countries that are less represented by immigrants in the U.S. They also tend to be more highly educated, work in more prestigious occupations, and have higher incomes. Because immigrants in same-sex couples tend to be of relatively more privileged socioeconomic status compared to immigrants in different-sex couples, it is possible these immigrants may settle in patterns more reflective of their non-immigrant LGB counterparts than their fellow immigrants. Considering that a key driver of the increase in immigrants in same-sex couples is through mixed-status marriages after DOMA</w:t>
      </w:r>
      <w:r>
        <w:t xml:space="preserve"> </w:t>
      </w:r>
      <w:r>
        <w:t xml:space="preserve">(</w:t>
      </w:r>
      <w:hyperlink w:anchor="ref-hoffmann_2024_policy">
        <w:r>
          <w:rPr>
            <w:rStyle w:val="Hyperlink"/>
          </w:rPr>
          <w:t xml:space="preserve">Hoffmann and Velasco 2024a</w:t>
        </w:r>
      </w:hyperlink>
      <w:r>
        <w:t xml:space="preserve">)</w:t>
      </w:r>
      <w:r>
        <w:t xml:space="preserve">, settlement patterns are likely more similar to U.S.-born LGB individuals than to the broader population of immigrants. On the other hand, LGB migrants may settle in patterns different from both straight migrants and U.S.-born LGB people.</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 migrants as less deserving of admission and less culturally similar to the U.S. than other migrants. Due to their greater personal privilege as well as this LGB-migrant-specific antagonism from larger society, LGB migrants may concentrate in their own unique enclaves.</w:t>
      </w:r>
    </w:p>
    <w:bookmarkEnd w:id="22"/>
    <w:bookmarkEnd w:id="23"/>
    <w:bookmarkStart w:id="28" w:name="data-and-methods"/>
    <w:p>
      <w:pPr>
        <w:pStyle w:val="Heading1"/>
      </w:pPr>
      <w:r>
        <w:t xml:space="preserve">Data and Methods</w:t>
      </w:r>
    </w:p>
    <w:p>
      <w:pPr>
        <w:pStyle w:val="FirstParagraph"/>
      </w:pPr>
      <w:r>
        <w:t xml:space="preserve">Our main source of data is the American Community Survey (ACS) for 2008 to 2022 (except for 2020, when data quality was not of adequate quality)</w:t>
      </w:r>
      <w:r>
        <w:t xml:space="preserve"> </w:t>
      </w:r>
      <w:r>
        <w:t xml:space="preserve">(</w:t>
      </w:r>
      <w:hyperlink w:anchor="ref-ruggles_2024_ipums">
        <w:r>
          <w:rPr>
            <w:rStyle w:val="Hyperlink"/>
          </w:rPr>
          <w:t xml:space="preserve">Ruggles et al. 2024</w:t>
        </w:r>
      </w:hyperlink>
      <w:r>
        <w:t xml:space="preserve">)</w:t>
      </w:r>
      <w:r>
        <w:t xml:space="preserve">.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 18 to 64, and immigrants in the sample migrated at the age of 18 or older.</w:t>
      </w:r>
    </w:p>
    <w:p>
      <w:pPr>
        <w:pStyle w:val="BodyText"/>
      </w:pPr>
      <w:r>
        <w:t xml:space="preserve">We consider the spatial distribution of three groups: immigrants in same-sex couples (unweighted</w:t>
      </w:r>
      <w:r>
        <w:t xml:space="preserve"> </w:t>
      </w:r>
      <m:oMath>
        <m:r>
          <m:t>N</m:t>
        </m:r>
      </m:oMath>
      <w:r>
        <w:t xml:space="preserve"> </w:t>
      </w:r>
      <w:r>
        <w:t xml:space="preserve">= 13,284), immigrants in different-sex couples (</w:t>
      </w:r>
      <m:oMath>
        <m:r>
          <m:t>N</m:t>
        </m:r>
      </m:oMath>
      <w:r>
        <w:t xml:space="preserve"> </w:t>
      </w:r>
      <w:r>
        <w:t xml:space="preserve">= 1,575,975), and individuals in same-sex couples where neither individual is an immigrant (</w:t>
      </w:r>
      <m:oMath>
        <m:r>
          <m:t>N</m:t>
        </m:r>
      </m:oMath>
      <w:r>
        <w:t xml:space="preserve"> </w:t>
      </w:r>
      <w:r>
        <w:t xml:space="preserve">= 173,546). The weighted sample is equivalent to 193 million individuals over the 14 years of data.</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 couples that cohabit; unpartnered LGB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bookmarkStart w:id="26" w:name="variables"/>
    <w:p>
      <w:pPr>
        <w:pStyle w:val="Heading2"/>
      </w:pPr>
      <w:r>
        <w:t xml:space="preserve">Variables</w:t>
      </w:r>
    </w:p>
    <w:p>
      <w:pPr>
        <w:pStyle w:val="FirstParagraph"/>
      </w:pPr>
      <w:r>
        <w:t xml:space="preserve">Most of our variables come from the ACS and are calculated at the level of the Public Use Microdata Area (PUMA), a geographic unit of analysis that covers a population of at least 100,000 and does not cross state lines. PUMAs partition the entirety of the United States, and most of our analyses are at the level of the country as a whole.</w:t>
      </w:r>
    </w:p>
    <w:p>
      <w:pPr>
        <w:pStyle w:val="BodyText"/>
      </w:pPr>
      <w:r>
        <w:t xml:space="preserve">We consider a variety of variables at the PUMA level in the ACS. First are variables relevant to economic considerations; neoclassical economic theory suggests that immigrants choose to settle in areas with greater economic opportunities. We expect that people want to live in places with better job opportunities, as long as the cost of living is not too high. We include the percentage of individuals in the PUMA who hold at least a bachelor’s degree, who own their own home, whose income is under 100% or 200% of the poverty line, and who are unemployed. We also consider the mean PUMA-level values of personal income, Hauser-Warren occupational prestige score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value of home (in $1000s), rent, and cost of electricity.</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who identify as Hispanic. We also use a measure from the ACS of the density of the PUMA in persons per square mile.</w:t>
      </w:r>
    </w:p>
    <w:p>
      <w:pPr>
        <w:pStyle w:val="BodyText"/>
      </w:pPr>
      <w:r>
        <w:t xml:space="preserve">We also use social data from two other sources. First, to examine LGB policies at state of destination, we use original datasets. We predict that LGB migrants will prefer to live in states with more progressive LGB policy. To create the U.S. state policy index, we compile data from the Movement Advancement Project</w:t>
      </w:r>
      <w:r>
        <w:rPr>
          <w:rStyle w:val="FootnoteReference"/>
        </w:rPr>
        <w:footnoteReference w:id="24"/>
      </w:r>
      <w:r>
        <w:t xml:space="preserve">, a leading LGB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and 2022.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 Form 990 annually. For our purposes, we restrict our sample to just 501c(3) charitable organizations. Additionally, the IRS assigns each organization an activity code from the National Taxonomy of Exempt Entities (NTEE). These NTEE codes help designate whether an organization is focused on</w:t>
      </w:r>
      <w:r>
        <w:t xml:space="preserve"> </w:t>
      </w:r>
      <w:r>
        <w:t xml:space="preserve">“</w:t>
      </w:r>
      <w:r>
        <w:t xml:space="preserve">Arts &amp; Culture</w:t>
      </w:r>
      <w:r>
        <w:t xml:space="preserve">”</w:t>
      </w:r>
      <w:r>
        <w:t xml:space="preserve"> </w:t>
      </w:r>
      <w:r>
        <w:t xml:space="preserve">(code: A20) or</w:t>
      </w:r>
      <w:r>
        <w:t xml:space="preserve"> </w:t>
      </w:r>
      <w:r>
        <w:t xml:space="preserve">“</w:t>
      </w:r>
      <w:r>
        <w:t xml:space="preserve">Homeless Shelters</w:t>
      </w:r>
      <w:r>
        <w:t xml:space="preserve">”</w:t>
      </w:r>
      <w:r>
        <w:t xml:space="preserve"> </w:t>
      </w:r>
      <w:r>
        <w:t xml:space="preserve">(code: L82). We classify nonprofits with NTEE codes</w:t>
      </w:r>
      <w:r>
        <w:t xml:space="preserve"> </w:t>
      </w:r>
      <w:r>
        <w:t xml:space="preserve">“</w:t>
      </w:r>
      <w:r>
        <w:t xml:space="preserve">Ethnic &amp; Immigrant Centers (code: P84) and</w:t>
      </w:r>
      <w:r>
        <w:t xml:space="preserve">”</w:t>
      </w:r>
      <w:r>
        <w:t xml:space="preserve">Immigrant Rights” (code: R21) as immigrant serving. While LGBTQ+ nonprofits are those designed as</w:t>
      </w:r>
      <w:r>
        <w:t xml:space="preserve"> </w:t>
      </w:r>
      <w:r>
        <w:t xml:space="preserve">“</w:t>
      </w:r>
      <w:r>
        <w:t xml:space="preserve">LGBT Centers</w:t>
      </w:r>
      <w:r>
        <w:t xml:space="preserve">”</w:t>
      </w:r>
      <w:r>
        <w:t xml:space="preserve"> </w:t>
      </w:r>
      <w:r>
        <w:t xml:space="preserve">(code: P88) and</w:t>
      </w:r>
      <w:r>
        <w:t xml:space="preserve"> </w:t>
      </w:r>
      <w:r>
        <w:t xml:space="preserve">“</w:t>
      </w:r>
      <w:r>
        <w:t xml:space="preserve">Lesbian &amp; Gay Rights</w:t>
      </w:r>
      <w:r>
        <w:t xml:space="preserve">”</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Due to data unavailability at the time of writing, we use 2021 data for 2022.</w:t>
      </w:r>
    </w:p>
    <w:p>
      <w:pPr>
        <w:pStyle w:val="BodyText"/>
      </w:pPr>
      <w:r>
        <w:t xml:space="preserve">Means for all of these PUMA-level variables by group are presented in Table</w:t>
      </w:r>
      <w:r>
        <w:t xml:space="preserve"> </w:t>
      </w:r>
      <w:r>
        <w:t xml:space="preserve">??</w:t>
      </w:r>
      <w:r>
        <w:t xml:space="preserve">.</w:t>
      </w:r>
    </w:p>
    <w:bookmarkEnd w:id="26"/>
    <w:bookmarkStart w:id="27" w:name="analytic-strategy"/>
    <w:p>
      <w:pPr>
        <w:pStyle w:val="Heading2"/>
      </w:pPr>
      <w:r>
        <w:t xml:space="preserve">Analytic Strategy</w:t>
      </w:r>
    </w:p>
    <w:p>
      <w:pPr>
        <w:pStyle w:val="FirstParagraph"/>
      </w:pPr>
      <w:r>
        <w:t xml:space="preserve">Our analyses proceed in three parts. First, we present descriptive statistics of ACS data. For these and for the reshaping described below, we apply survey weights from the ACS.</w:t>
      </w:r>
    </w:p>
    <w:p>
      <w:pPr>
        <w:pStyle w:val="BodyText"/>
      </w:pPr>
      <w:r>
        <w:t xml:space="preserve">For the second stage of the analysis, we use OLS models. One of our goals is to isolate the effect of country-of-origin LGB policy on the immigration of immigrants in same-sex couples. The ideal survey would follow potential immigrants over time and have information about sexual orientation, allowing us to estimate how choice of residence varies by sexual orientation. This ideal dataset does not exist, but we attempt to approximate it. First, to study how different LGB migrants are from straight ones, we reshape the data so that each observation is the percentage of individual cohabiting immigrants in same-sex couples in PUMA</w:t>
      </w:r>
      <w:r>
        <w:t xml:space="preserve"> </w:t>
      </w:r>
      <m:oMath>
        <m:r>
          <m:t>x</m:t>
        </m:r>
      </m:oMath>
      <w:r>
        <w:t xml:space="preserve"> </w:t>
      </w:r>
      <w:r>
        <w:t xml:space="preserve">in survey year</w:t>
      </w:r>
      <w:r>
        <w:t xml:space="preserve"> </w:t>
      </w:r>
      <m:oMath>
        <m:r>
          <m:t>y</m:t>
        </m:r>
      </m:oMath>
      <w:r>
        <w:t xml:space="preserve">, out of all cohabiting immigrants in that PUMA. We regress the resulting percentage on the set of variables discussed above, adding state and year fixed effects and clustering errors at the state and year levels. We then repeat this analysis, but with the aim of determining how different LGB migrants are from LGB non-migrants. We reshape the data so that each observation is the percentage of immigrants in same-sex couples</w:t>
      </w:r>
      <w:r>
        <w:t xml:space="preserve"> </w:t>
      </w:r>
      <w:r>
        <w:rPr>
          <w:iCs/>
          <w:i/>
        </w:rPr>
        <w:t xml:space="preserve">out of all same-sex couples</w:t>
      </w:r>
      <w:r>
        <w:t xml:space="preserve">, in PUMA</w:t>
      </w:r>
      <w:r>
        <w:t xml:space="preserve"> </w:t>
      </w:r>
      <m:oMath>
        <m:r>
          <m:t>x</m:t>
        </m:r>
      </m:oMath>
      <w:r>
        <w:t xml:space="preserve"> </w:t>
      </w:r>
      <w:r>
        <w:t xml:space="preserve">in survey year</w:t>
      </w:r>
      <w:r>
        <w:t xml:space="preserve"> </w:t>
      </w:r>
      <m:oMath>
        <m:r>
          <m:t>y</m:t>
        </m:r>
      </m:oMath>
      <w:r>
        <w:t xml:space="preserve">.</w:t>
      </w:r>
    </w:p>
    <w:p>
      <w:pPr>
        <w:pStyle w:val="BodyText"/>
      </w:pPr>
      <w:r>
        <w:t xml:space="preserve">The third set of results come from quasi-Poisson models. Regressing yearly counts within PUMAs on the full set of geographic variables discussed above, we estimate separate models for our three groups – immigrants in same-sex couples, immigrants in different-sex couples, and non-immigrants in same-sex couples. We compare the significance of coefficients across models using Z-tests.</w:t>
      </w:r>
    </w:p>
    <w:bookmarkEnd w:id="27"/>
    <w:bookmarkEnd w:id="28"/>
    <w:bookmarkStart w:id="31" w:name="results"/>
    <w:p>
      <w:pPr>
        <w:pStyle w:val="Heading1"/>
      </w:pPr>
      <w:r>
        <w:t xml:space="preserve">Results</w:t>
      </w:r>
    </w:p>
    <w:bookmarkStart w:id="29" w:name="descriptive-results"/>
    <w:p>
      <w:pPr>
        <w:pStyle w:val="Heading2"/>
      </w:pPr>
      <w:r>
        <w:t xml:space="preserve">Descriptive Results</w:t>
      </w:r>
    </w:p>
    <w:p>
      <w:pPr>
        <w:pStyle w:val="FirstParagraph"/>
      </w:pPr>
      <w:r>
        <w:t xml:space="preserve">To show broadly how the geography of immigrants in same-sex couples has changed over the past 15 years, Figure</w:t>
      </w:r>
      <w:r>
        <w:t xml:space="preserve"> </w:t>
      </w:r>
      <w:r>
        <w:t xml:space="preserve">1</w:t>
      </w:r>
      <w:r>
        <w:t xml:space="preserve"> </w:t>
      </w:r>
      <w:r>
        <w:t xml:space="preserve">presents the percentage coupled immigrants in each state who are in same-sex couples and how these figures have changed over time. The figure shows maps for three time periods: 2008-2012, 2013-2017, and 2018-2022. Most states had greater proportions of immigrants in same-sex couples in 2022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(2018-2022), more of the map shows higher percentages of immigrants in same-sex couples, including more relatively conservative states.</w:t>
      </w:r>
    </w:p>
    <w:p>
      <w:pPr>
        <w:pStyle w:val="BodyText"/>
      </w:pPr>
      <w:r>
        <w:t xml:space="preserve">Table</w:t>
      </w:r>
      <w:r>
        <w:t xml:space="preserve"> </w:t>
      </w:r>
      <w:r>
        <w:t xml:space="preserve">??</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Immigrants in same-sex couples tend to be more similar to immigrants in different-sex couples than non-immigrants in same-sex couples. Most notably, immigrants in same- and different-sex couples live in areas with similar proportions of immigrants and Hispanic people, with higher home values and rent, and in denser areas. However, immigrants in same-sex couples live in areas with somewhat more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queer people. First, although all three groups tend to live in relatively progressive states with a score of at least 3, immigrants in same-sex couples live in states with an average score of nearly 4. Also notable are differences around the number of LGBT nonprofits. On average, immigrants in same-sex couples live in PUMAs with 1.2 LGBT nonprofits, while LGB non-immigrants live in PUMAs with 0.76 and immigrants in different-sex couples with 0.30. They also live in areas with more immigrant nonprofits, with an average of 1.0. Surprisingly, the number of immigrant nonprofits for the average immigrant in a different-sex couple and average non-immigrant in a same sex couple are quite similar, at about 0.8.</w:t>
      </w:r>
    </w:p>
    <w:p>
      <w:pPr>
        <w:pStyle w:val="BodyText"/>
      </w:pPr>
      <w:r>
        <w:t xml:space="preserve">Figures</w:t>
      </w:r>
      <w:r>
        <w:t xml:space="preserve"> </w:t>
      </w:r>
      <w:r>
        <w:t xml:space="preserve">??</w:t>
      </w:r>
      <w:r>
        <w:t xml:space="preserve"> </w:t>
      </w:r>
      <w:r>
        <w:t xml:space="preserve">and</w:t>
      </w:r>
      <w:r>
        <w:t xml:space="preserve"> </w:t>
      </w:r>
      <w:r>
        <w:t xml:space="preserve">??</w:t>
      </w:r>
      <w:r>
        <w:t xml:space="preserve"> </w:t>
      </w:r>
      <w:r>
        <w:t xml:space="preserve">show how these differences are fairly stable over time. One notable change is the average percent of Black residents in the typical area for each group: Around 2010, immigrants in same-sex couples were 1 to 2 percentage points more likely to live in areas with Black respondents than the other groups, but in recent years the numbers are very similar.</w:t>
      </w:r>
    </w:p>
    <w:bookmarkEnd w:id="29"/>
    <w:bookmarkStart w:id="30" w:name="models"/>
    <w:p>
      <w:pPr>
        <w:pStyle w:val="Heading2"/>
      </w:pPr>
      <w:r>
        <w:t xml:space="preserve">Models</w:t>
      </w:r>
    </w:p>
    <w:p>
      <w:pPr>
        <w:pStyle w:val="FirstParagraph"/>
      </w:pPr>
      <w:r>
        <w:t xml:space="preserve">Table</w:t>
      </w:r>
      <w:r>
        <w:t xml:space="preserve"> </w:t>
      </w:r>
      <w:r>
        <w:t xml:space="preserve">??</w:t>
      </w:r>
      <w:r>
        <w:t xml:space="preserve"> </w:t>
      </w:r>
      <w:r>
        <w:t xml:space="preserve">presents OLS regressions for the percentage of immigrants in same-sex couples, out of all immigrants in couples, at the PUMA level. Model 1 does not include fixed effects, Model 2 includes state fixed effects and errors clustered at the state level, and Model 3 includes both state and year fixed effects and clusters errors at the state and year levels. Model 3 shows that a number of factors remain significant even in models with these fixed effects. Areas are more likely to have higher proportions of immigrants in same-sex couples (out of all coupled immigrants) if fewer people own their own home, the average age is higher, the percentage of immigrants is lower, more people are above the poverty line, homes are worth somewhat less, the number of LGBT nonprofits is higher, and the number of immigrant nonprofits is lower. In addition, although the coefficient is not significant in Model 3, the state LGB policy score has a positive effect in Models 1 and 2. States with more progressive LGB policies have greater proportions of immigrants in same-sex couples, but the lack of significance in models with fixed effects implies that variation is mostly between-state and between-year.</w:t>
      </w:r>
    </w:p>
    <w:p>
      <w:pPr>
        <w:pStyle w:val="BodyText"/>
      </w:pPr>
      <w:r>
        <w:t xml:space="preserve">Table</w:t>
      </w:r>
      <w:r>
        <w:t xml:space="preserve"> </w:t>
      </w:r>
      <w:r>
        <w:t xml:space="preserve">??</w:t>
      </w:r>
      <w:r>
        <w:t xml:space="preserve"> </w:t>
      </w:r>
      <w:r>
        <w:t xml:space="preserve">presents corresponding regressions for the proportion of all people in same-sex couples who are immigrants. Again, a number of coefficients are significant in Model 3, which includes state and year fixed effects. Compared to LGB individuals more broadly, LGB immigrants tend to live in areas with more Black and Hispanic people, lower income, more people who own their own home, higher percentages of immigrants, higher home prices greater density, and with fewer immigrant nonprofits.</w:t>
      </w:r>
    </w:p>
    <w:p>
      <w:pPr>
        <w:pStyle w:val="BodyText"/>
      </w:pPr>
      <w:r>
        <w:t xml:space="preserve">Lastly, Table</w:t>
      </w:r>
      <w:r>
        <w:t xml:space="preserve"> </w:t>
      </w:r>
      <w:r>
        <w:t xml:space="preserve">??</w:t>
      </w:r>
      <w:r>
        <w:t xml:space="preserve"> </w:t>
      </w:r>
      <w:r>
        <w:t xml:space="preserve">presents coefficients from our quasi-Poisson models separately predicting counts of immigrants in different-sex couples, immigrants in same-sex couples, and non-immigrants in same-sex couples. The symbols between columns represents Z-tests, where the difference in coefficients for the same variable are evaluated for statistical significance. While descriptive results suggested that immigrants in same-sex couples are more similar to immigrants in different-sex couples than to non-immigrants in same-sex couples, the results here differ somewhat. More coefficients are significantly different from immigrants in different-sex couples (percentage Hispanic, percentage who own their own home, mean age, percentage immigrant, mean value of home, state LGB policy score, number of LGB nonprofits, and number of immigrant nonprofits) than from non-immigrants in same-sex couples (percentage black, percentage Hispanic, and percentage immigrant). Notably, compared to straight migrants, LGB migrants are more likely to live in LGB-friendly states and near LGBT nonprofits, and they are less likely to live near immigrant nonprofits.</w:t>
      </w:r>
    </w:p>
    <w:bookmarkEnd w:id="30"/>
    <w:bookmarkEnd w:id="31"/>
    <w:bookmarkStart w:id="32" w:name="discussion-and-conclusion"/>
    <w:p>
      <w:pPr>
        <w:pStyle w:val="Heading1"/>
      </w:pPr>
      <w:r>
        <w:t xml:space="preserve">Discussion and Conclusion</w:t>
      </w:r>
    </w:p>
    <w:p>
      <w:pPr>
        <w:pStyle w:val="FirstParagraph"/>
      </w:pPr>
      <w:r>
        <w:t xml:space="preserve">In 2013, the U.S. Supreme Court overturned the Defense of Marriage Act and required the U.S. government to begin recognizing marriages between same-sex spouses. Once immigrants in same-sex couples had access to spousal and finané(e)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is it, then, that these immigrants settle in the United States over time?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w:t>
      </w:r>
    </w:p>
    <w:p>
      <w:pPr>
        <w:pStyle w:val="BodyText"/>
      </w:pPr>
      <w:r>
        <w:t xml:space="preserve">First, we find that immigrants in same-sex couples are increasing their geographic distribution across the United States from 2008 to 2022. This trend underscores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county-level and metropolitan-level distributions in same-sex couples overall.</w:t>
      </w:r>
    </w:p>
    <w:p>
      <w:pPr>
        <w:pStyle w:val="BodyText"/>
      </w:pPr>
      <w:r>
        <w:t xml:space="preserve">Second, when descriptively comparing the types of areas immigrants in same-sex couples live compared to immigrants in different-sex couples and U.S.-born individuals in same-sex couples, we find immigrants are typically closer to trends matching their fellow immigrants. A notable exception is that immigrants in same-sex couples live in areas with greater concentration of those with Bachelor’s degrees, more LGBTQ+ nonprofits, more density, and have higher average incomes. In other words, these descriptive trends show this population to have a disproportionate draw to areas that may be more characteristic of gayborhoods</w:t>
      </w:r>
      <w:r>
        <w:t xml:space="preserve"> </w:t>
      </w:r>
      <w:r>
        <w:t xml:space="preserve">(</w:t>
      </w:r>
      <w:hyperlink w:anchor="ref-ghaziani_2016_there">
        <w:r>
          <w:rPr>
            <w:rStyle w:val="Hyperlink"/>
          </w:rPr>
          <w:t xml:space="preserve">Ghaziani 2016</w:t>
        </w:r>
      </w:hyperlink>
      <w:r>
        <w:t xml:space="preserve">)</w:t>
      </w:r>
      <w:r>
        <w:t xml:space="preserve">. Yet, our OLS and quasi-Poisson models show that when compared to U.S.-born Americans in same-sex couples, their immigrant counterparts live in areas that are more Hispanic, Black, have more immigrants, and in states with even more progressive LGBTQ+ policies.</w:t>
      </w:r>
    </w:p>
    <w:p>
      <w:pPr>
        <w:pStyle w:val="BodyText"/>
      </w:pPr>
      <w:r>
        <w:t xml:space="preserve">Third, rather than being more akin to one adjacent population or the other, it appears that immigrants in same-sex couples operate on their own distinct settlement patterns. These immigrants live in more diverse, cosmopolitan, and LGBTQ+ supportive locations in the United States, unlike U.S.-born same-sex couples that are increasingly spreading to conservative states and non-urban locations. Furthermore, they do not seem to be following immigrants in different-sex couples’ pathways to</w:t>
      </w:r>
      <w:r>
        <w:t xml:space="preserve"> </w:t>
      </w:r>
      <w:r>
        <w:t xml:space="preserve">“</w:t>
      </w:r>
      <w:r>
        <w:t xml:space="preserve">new immigrant destinations.</w:t>
      </w:r>
      <w:r>
        <w:t xml:space="preserve">”</w:t>
      </w:r>
      <w:r>
        <w:t xml:space="preserve"> </w:t>
      </w:r>
      <w:r>
        <w:t xml:space="preserve">As found by</w:t>
      </w:r>
      <w:r>
        <w:t xml:space="preserve"> </w:t>
      </w:r>
      <w:r>
        <w:t xml:space="preserve">Hoffmann and Velasco (</w:t>
      </w:r>
      <w:hyperlink w:anchor="ref-hoffmann_2023_sexuality">
        <w:r>
          <w:rPr>
            <w:rStyle w:val="Hyperlink"/>
          </w:rPr>
          <w:t xml:space="preserve">2023</w:t>
        </w:r>
      </w:hyperlink>
      <w:r>
        <w:t xml:space="preserve">)</w:t>
      </w:r>
      <w:r>
        <w:t xml:space="preserve">, this may because, as a population, immigrants in same-sex couples are some of the move privileged among immigrants – typically having higher incomes, occupational prestige, and educational attainment. Consequently,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w:t>
      </w:r>
    </w:p>
    <w:p>
      <w:pPr>
        <w:pStyle w:val="BodyText"/>
      </w:pPr>
      <w:r>
        <w:t xml:space="preserve">This study is subject to a number of limitations that future research should attempt to overcome. First, ACS data limit analysis to LGB migrants in couples who live together, excluding single or non-cohabiting LGB migrants. Second, PUMAs are large (including at least 100,000 people), so analysis can not be as fine-grained as would be ideal. Especially in rural areas, PUMAs can be quite vast; research at lower levels of aggregation is necessary to better understand the settlement of these areas. Third, summary statistics from the ACS are only proxies for the lived spatial experiences of LGB migrants in these areas. In-depth qualitative work is necessary to understand how LGB migrants consider various aspects of place and space in deciding where to settle.</w:t>
      </w:r>
    </w:p>
    <w:p>
      <w:r>
        <w:br w:type="page"/>
      </w:r>
    </w:p>
    <w:bookmarkEnd w:id="32"/>
    <w:bookmarkStart w:id="128" w:name="references"/>
    <w:p>
      <w:pPr>
        <w:pStyle w:val="Heading1"/>
      </w:pPr>
      <w:r>
        <w:t xml:space="preserve">References</w:t>
      </w:r>
    </w:p>
    <w:bookmarkStart w:id="127" w:name="refs"/>
    <w:bookmarkStart w:id="34"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3">
        <w:r>
          <w:rPr>
            <w:rStyle w:val="Hyperlink"/>
          </w:rPr>
          <w:t xml:space="preserve">https://doi.org/10.1007/978-94-007-5512-3</w:t>
        </w:r>
      </w:hyperlink>
      <w:r>
        <w:t xml:space="preserve">.</w:t>
      </w:r>
    </w:p>
    <w:bookmarkEnd w:id="34"/>
    <w:bookmarkStart w:id="35"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5"/>
    <w:bookmarkStart w:id="37"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6">
        <w:r>
          <w:rPr>
            <w:rStyle w:val="Hyperlink"/>
          </w:rPr>
          <w:t xml:space="preserve">https://doi.org/10.1007/978-3-030-10910-3_11</w:t>
        </w:r>
      </w:hyperlink>
      <w:r>
        <w:t xml:space="preserve">.</w:t>
      </w:r>
    </w:p>
    <w:bookmarkEnd w:id="37"/>
    <w:bookmarkStart w:id="39"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Cs/>
          <w:i/>
        </w:rPr>
        <w:t xml:space="preserve">Population Research and Policy Review</w:t>
      </w:r>
      <w:r>
        <w:t xml:space="preserve"> </w:t>
      </w:r>
      <w:r>
        <w:t xml:space="preserve">42 (6): 90.</w:t>
      </w:r>
      <w:r>
        <w:t xml:space="preserve"> </w:t>
      </w:r>
      <w:hyperlink r:id="rId38">
        <w:r>
          <w:rPr>
            <w:rStyle w:val="Hyperlink"/>
          </w:rPr>
          <w:t xml:space="preserve">https://doi.org/10.1007/s11113-023-09842-7</w:t>
        </w:r>
      </w:hyperlink>
      <w:r>
        <w:t xml:space="preserve">.</w:t>
      </w:r>
    </w:p>
    <w:bookmarkEnd w:id="39"/>
    <w:bookmarkStart w:id="41"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Cs/>
          <w:i/>
        </w:rPr>
        <w:t xml:space="preserve">Journal of Urban Economics</w:t>
      </w:r>
      <w:r>
        <w:t xml:space="preserve"> </w:t>
      </w:r>
      <w:r>
        <w:t xml:space="preserve">51 (1): 54–76.</w:t>
      </w:r>
      <w:r>
        <w:t xml:space="preserve"> </w:t>
      </w:r>
      <w:hyperlink r:id="rId40">
        <w:r>
          <w:rPr>
            <w:rStyle w:val="Hyperlink"/>
          </w:rPr>
          <w:t xml:space="preserve">https://doi.org/10.1006/juec.2001.2237</w:t>
        </w:r>
      </w:hyperlink>
      <w:r>
        <w:t xml:space="preserve">.</w:t>
      </w:r>
    </w:p>
    <w:bookmarkEnd w:id="41"/>
    <w:bookmarkStart w:id="42"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42"/>
    <w:bookmarkStart w:id="43" w:name="ref-carrillo_2018"/>
    <w:p>
      <w:pPr>
        <w:pStyle w:val="Bibliography"/>
      </w:pPr>
      <w:r>
        <w:t xml:space="preserve">Carrillo, Héctor.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 University of Chicago Press.</w:t>
      </w:r>
    </w:p>
    <w:bookmarkEnd w:id="43"/>
    <w:bookmarkStart w:id="45"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44">
        <w:r>
          <w:rPr>
            <w:rStyle w:val="Hyperlink"/>
          </w:rPr>
          <w:t xml:space="preserve">https://doi.org/10.1080/1387698042000273479</w:t>
        </w:r>
      </w:hyperlink>
      <w:r>
        <w:t xml:space="preserve">.</w:t>
      </w:r>
    </w:p>
    <w:bookmarkEnd w:id="45"/>
    <w:bookmarkStart w:id="47"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March, 00380385211073237.</w:t>
      </w:r>
      <w:r>
        <w:t xml:space="preserve"> </w:t>
      </w:r>
      <w:hyperlink r:id="rId46">
        <w:r>
          <w:rPr>
            <w:rStyle w:val="Hyperlink"/>
          </w:rPr>
          <w:t xml:space="preserve">https://doi.org/10.1177/00380385211073237</w:t>
        </w:r>
      </w:hyperlink>
      <w:r>
        <w:t xml:space="preserve">.</w:t>
      </w:r>
    </w:p>
    <w:bookmarkEnd w:id="47"/>
    <w:bookmarkStart w:id="49"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48">
        <w:r>
          <w:rPr>
            <w:rStyle w:val="Hyperlink"/>
          </w:rPr>
          <w:t xml:space="preserve">https://doi.org/10.1111/kykl.12206</w:t>
        </w:r>
      </w:hyperlink>
      <w:r>
        <w:t xml:space="preserve">.</w:t>
      </w:r>
    </w:p>
    <w:bookmarkEnd w:id="49"/>
    <w:bookmarkStart w:id="51"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Cs/>
          <w:i/>
        </w:rPr>
        <w:t xml:space="preserve">Geoforum</w:t>
      </w:r>
      <w:r>
        <w:t xml:space="preserve"> </w:t>
      </w:r>
      <w:r>
        <w:t xml:space="preserve">68 (January): 1–9.</w:t>
      </w:r>
      <w:r>
        <w:t xml:space="preserve"> </w:t>
      </w:r>
      <w:hyperlink r:id="rId50">
        <w:r>
          <w:rPr>
            <w:rStyle w:val="Hyperlink"/>
          </w:rPr>
          <w:t xml:space="preserve">https://doi.org/10.1016/j.geoforum.2015.11.007</w:t>
        </w:r>
      </w:hyperlink>
      <w:r>
        <w:t xml:space="preserve">.</w:t>
      </w:r>
    </w:p>
    <w:bookmarkEnd w:id="51"/>
    <w:bookmarkStart w:id="53"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 </w:t>
      </w:r>
      <w:r>
        <w:t xml:space="preserve">68 (3): 281–98.</w:t>
      </w:r>
      <w:r>
        <w:t xml:space="preserve"> </w:t>
      </w:r>
      <w:hyperlink r:id="rId52">
        <w:r>
          <w:rPr>
            <w:rStyle w:val="Hyperlink"/>
          </w:rPr>
          <w:t xml:space="preserve">https://doi.org/10.1177/0011392119850231</w:t>
        </w:r>
      </w:hyperlink>
      <w:r>
        <w:t xml:space="preserve">.</w:t>
      </w:r>
    </w:p>
    <w:bookmarkEnd w:id="53"/>
    <w:bookmarkStart w:id="55"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54">
        <w:r>
          <w:rPr>
            <w:rStyle w:val="Hyperlink"/>
          </w:rPr>
          <w:t xml:space="preserve">https://doi.org/10.1177/0002716219857667</w:t>
        </w:r>
      </w:hyperlink>
      <w:r>
        <w:t xml:space="preserve">.</w:t>
      </w:r>
    </w:p>
    <w:bookmarkEnd w:id="55"/>
    <w:bookmarkStart w:id="57"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56">
        <w:r>
          <w:rPr>
            <w:rStyle w:val="Hyperlink"/>
          </w:rPr>
          <w:t xml:space="preserve">https://www.jstor.org/stable/42864364</w:t>
        </w:r>
      </w:hyperlink>
      <w:r>
        <w:t xml:space="preserve">.</w:t>
      </w:r>
    </w:p>
    <w:bookmarkEnd w:id="57"/>
    <w:bookmarkStart w:id="58"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58"/>
    <w:bookmarkStart w:id="60"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59">
        <w:r>
          <w:rPr>
            <w:rStyle w:val="Hyperlink"/>
          </w:rPr>
          <w:t xml:space="preserve">https://doi.org/10.1146/annurev-soc-090320-100926</w:t>
        </w:r>
      </w:hyperlink>
      <w:r>
        <w:t xml:space="preserve">.</w:t>
      </w:r>
    </w:p>
    <w:bookmarkEnd w:id="60"/>
    <w:bookmarkStart w:id="62"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Cs/>
          <w:i/>
        </w:rPr>
        <w:t xml:space="preserve">City &amp; Community</w:t>
      </w:r>
      <w:r>
        <w:t xml:space="preserve"> </w:t>
      </w:r>
      <w:r>
        <w:t xml:space="preserve">2 (1): 3–19.</w:t>
      </w:r>
      <w:r>
        <w:t xml:space="preserve"> </w:t>
      </w:r>
      <w:hyperlink r:id="rId61">
        <w:r>
          <w:rPr>
            <w:rStyle w:val="Hyperlink"/>
          </w:rPr>
          <w:t xml:space="preserve">https://doi.org/10.1111/1540-6040.00034</w:t>
        </w:r>
      </w:hyperlink>
      <w:r>
        <w:t xml:space="preserve">.</w:t>
      </w:r>
    </w:p>
    <w:bookmarkEnd w:id="62"/>
    <w:bookmarkStart w:id="63"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63"/>
    <w:bookmarkStart w:id="64"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64"/>
    <w:bookmarkStart w:id="66" w:name="ref-ghaziani_2016_there"/>
    <w:p>
      <w:pPr>
        <w:pStyle w:val="Bibliography"/>
      </w:pPr>
      <w:r>
        <w:t xml:space="preserve">Ghaziani, Amin. 2016.</w:t>
      </w:r>
      <w:r>
        <w:t xml:space="preserve"> </w:t>
      </w:r>
      <w:r>
        <w:rPr>
          <w:iCs/>
          <w:i/>
        </w:rPr>
        <w:t xml:space="preserve">There</w:t>
      </w:r>
      <w:r>
        <w:rPr>
          <w:iCs/>
          <w:i/>
        </w:rPr>
        <w:t xml:space="preserve"> </w:t>
      </w:r>
      <w:r>
        <w:rPr>
          <w:iCs/>
          <w:i/>
        </w:rPr>
        <w:t xml:space="preserve">Goes</w:t>
      </w:r>
      <w:r>
        <w:rPr>
          <w:iCs/>
          <w:i/>
        </w:rPr>
        <w:t xml:space="preserve"> </w:t>
      </w:r>
      <w:r>
        <w:rPr>
          <w:iCs/>
          <w:i/>
        </w:rPr>
        <w:t xml:space="preserve">the</w:t>
      </w:r>
      <w:r>
        <w:rPr>
          <w:iCs/>
          <w:i/>
        </w:rPr>
        <w:t xml:space="preserve"> </w:t>
      </w:r>
      <w:r>
        <w:rPr>
          <w:iCs/>
          <w:i/>
        </w:rPr>
        <w:t xml:space="preserve">Gayborhood</w:t>
      </w:r>
      <w:r>
        <w:rPr>
          <w:iCs/>
          <w:i/>
        </w:rPr>
        <w:t xml:space="preserve">?:</w:t>
      </w:r>
      <w:r>
        <w:t xml:space="preserve"> Princeton University Press.</w:t>
      </w:r>
      <w:r>
        <w:t xml:space="preserve"> </w:t>
      </w:r>
      <w:hyperlink r:id="rId65">
        <w:r>
          <w:rPr>
            <w:rStyle w:val="Hyperlink"/>
          </w:rPr>
          <w:t xml:space="preserve">https://doi.org/10.1515/9781400850174</w:t>
        </w:r>
      </w:hyperlink>
      <w:r>
        <w:t xml:space="preserve">.</w:t>
      </w:r>
    </w:p>
    <w:bookmarkEnd w:id="66"/>
    <w:bookmarkStart w:id="67"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67"/>
    <w:bookmarkStart w:id="68"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68"/>
    <w:bookmarkStart w:id="70"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 </w:t>
      </w:r>
      <w:r>
        <w:t xml:space="preserve">10 (4): 441–60.</w:t>
      </w:r>
      <w:r>
        <w:t xml:space="preserve"> </w:t>
      </w:r>
      <w:hyperlink r:id="rId69">
        <w:r>
          <w:rPr>
            <w:rStyle w:val="Hyperlink"/>
          </w:rPr>
          <w:t xml:space="preserve">https://doi.org/10.1080/14649360902853262</w:t>
        </w:r>
      </w:hyperlink>
      <w:r>
        <w:t xml:space="preserve">.</w:t>
      </w:r>
    </w:p>
    <w:bookmarkEnd w:id="70"/>
    <w:bookmarkStart w:id="72"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71">
        <w:r>
          <w:rPr>
            <w:rStyle w:val="Hyperlink"/>
          </w:rPr>
          <w:t xml:space="preserve">https://doi.org/10.1007/s13524-012-0177-x</w:t>
        </w:r>
      </w:hyperlink>
      <w:r>
        <w:t xml:space="preserve">.</w:t>
      </w:r>
    </w:p>
    <w:bookmarkEnd w:id="72"/>
    <w:bookmarkStart w:id="74"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73">
        <w:r>
          <w:rPr>
            <w:rStyle w:val="Hyperlink"/>
          </w:rPr>
          <w:t xml:space="preserve">https://doi.org/10.7551/mitpress/3303.001.0001</w:t>
        </w:r>
      </w:hyperlink>
      <w:r>
        <w:t xml:space="preserve">.</w:t>
      </w:r>
    </w:p>
    <w:bookmarkEnd w:id="74"/>
    <w:bookmarkStart w:id="76"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75">
        <w:r>
          <w:rPr>
            <w:rStyle w:val="Hyperlink"/>
          </w:rPr>
          <w:t xml:space="preserve">https://www.jstor.org/stable/271107</w:t>
        </w:r>
      </w:hyperlink>
      <w:r>
        <w:t xml:space="preserve">.</w:t>
      </w:r>
    </w:p>
    <w:bookmarkEnd w:id="76"/>
    <w:bookmarkStart w:id="78"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Cs/>
          <w:i/>
        </w:rPr>
        <w:t xml:space="preserve">City &amp; Community</w:t>
      </w:r>
      <w:r>
        <w:t xml:space="preserve"> </w:t>
      </w:r>
      <w:r>
        <w:t xml:space="preserve">10 (2): 131–56.</w:t>
      </w:r>
      <w:r>
        <w:t xml:space="preserve"> </w:t>
      </w:r>
      <w:hyperlink r:id="rId77">
        <w:r>
          <w:rPr>
            <w:rStyle w:val="Hyperlink"/>
          </w:rPr>
          <w:t xml:space="preserve">https://doi.org/10.1111/j.1540-6040.2010.01353.x</w:t>
        </w:r>
      </w:hyperlink>
      <w:r>
        <w:t xml:space="preserve">.</w:t>
      </w:r>
    </w:p>
    <w:bookmarkEnd w:id="78"/>
    <w:bookmarkStart w:id="79"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79"/>
    <w:bookmarkStart w:id="81"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80">
        <w:r>
          <w:rPr>
            <w:rStyle w:val="Hyperlink"/>
          </w:rPr>
          <w:t xml:space="preserve">https://doi.org/10.1177/01979183231187623</w:t>
        </w:r>
      </w:hyperlink>
      <w:r>
        <w:t xml:space="preserve">.</w:t>
      </w:r>
    </w:p>
    <w:bookmarkEnd w:id="81"/>
    <w:bookmarkStart w:id="83"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82">
        <w:r>
          <w:rPr>
            <w:rStyle w:val="Hyperlink"/>
          </w:rPr>
          <w:t xml:space="preserve">https://doi.org/10.1093/sf/soad108</w:t>
        </w:r>
      </w:hyperlink>
      <w:r>
        <w:t xml:space="preserve">.</w:t>
      </w:r>
    </w:p>
    <w:bookmarkEnd w:id="83"/>
    <w:bookmarkStart w:id="85"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84">
        <w:r>
          <w:rPr>
            <w:rStyle w:val="Hyperlink"/>
          </w:rPr>
          <w:t xml:space="preserve">https://doi.org/10.31235/osf.io/yb6ua</w:t>
        </w:r>
      </w:hyperlink>
      <w:r>
        <w:t xml:space="preserve">.</w:t>
      </w:r>
    </w:p>
    <w:bookmarkEnd w:id="85"/>
    <w:bookmarkStart w:id="87"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86">
        <w:r>
          <w:rPr>
            <w:rStyle w:val="Hyperlink"/>
          </w:rPr>
          <w:t xml:space="preserve">https://doi.org/10.1353/dem.2008.0009</w:t>
        </w:r>
      </w:hyperlink>
      <w:r>
        <w:t xml:space="preserve">.</w:t>
      </w:r>
    </w:p>
    <w:bookmarkEnd w:id="87"/>
    <w:bookmarkStart w:id="89"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Cs/>
          <w:i/>
        </w:rPr>
        <w:t xml:space="preserve">PLOS ONE</w:t>
      </w:r>
      <w:r>
        <w:t xml:space="preserve"> </w:t>
      </w:r>
      <w:r>
        <w:t xml:space="preserve">13 (6): e0198751.</w:t>
      </w:r>
      <w:r>
        <w:t xml:space="preserve"> </w:t>
      </w:r>
      <w:hyperlink r:id="rId88">
        <w:r>
          <w:rPr>
            <w:rStyle w:val="Hyperlink"/>
          </w:rPr>
          <w:t xml:space="preserve">https://doi.org/10.1371/journal.pone.0198751</w:t>
        </w:r>
      </w:hyperlink>
      <w:r>
        <w:t xml:space="preserve">.</w:t>
      </w:r>
    </w:p>
    <w:bookmarkEnd w:id="89"/>
    <w:bookmarkStart w:id="91"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 </w:t>
      </w:r>
      <w:r>
        <w:t xml:space="preserve">4 (3): 295–307.</w:t>
      </w:r>
      <w:r>
        <w:t xml:space="preserve"> </w:t>
      </w:r>
      <w:hyperlink r:id="rId90">
        <w:r>
          <w:rPr>
            <w:rStyle w:val="Hyperlink"/>
          </w:rPr>
          <w:t xml:space="preserve">https://doi.org/10.1080/17450100903195318</w:t>
        </w:r>
      </w:hyperlink>
      <w:r>
        <w:t xml:space="preserve">.</w:t>
      </w:r>
    </w:p>
    <w:bookmarkEnd w:id="91"/>
    <w:bookmarkStart w:id="93"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92">
        <w:r>
          <w:rPr>
            <w:rStyle w:val="Hyperlink"/>
          </w:rPr>
          <w:t xml:space="preserve">https://doi.org/10.1007/s00148-021-00842-5</w:t>
        </w:r>
      </w:hyperlink>
      <w:r>
        <w:t xml:space="preserve">.</w:t>
      </w:r>
    </w:p>
    <w:bookmarkEnd w:id="93"/>
    <w:bookmarkStart w:id="95"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Cs/>
          <w:i/>
        </w:rPr>
        <w:t xml:space="preserve">Socius</w:t>
      </w:r>
      <w:r>
        <w:t xml:space="preserve"> </w:t>
      </w:r>
      <w:r>
        <w:t xml:space="preserve">10 (January): 23780231231222772.</w:t>
      </w:r>
      <w:r>
        <w:t xml:space="preserve"> </w:t>
      </w:r>
      <w:hyperlink r:id="rId94">
        <w:r>
          <w:rPr>
            <w:rStyle w:val="Hyperlink"/>
          </w:rPr>
          <w:t xml:space="preserve">https://doi.org/10.1177/23780231231222772</w:t>
        </w:r>
      </w:hyperlink>
      <w:r>
        <w:t xml:space="preserve">.</w:t>
      </w:r>
    </w:p>
    <w:bookmarkEnd w:id="95"/>
    <w:bookmarkStart w:id="97"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96">
        <w:r>
          <w:rPr>
            <w:rStyle w:val="Hyperlink"/>
          </w:rPr>
          <w:t xml:space="preserve">https://doi.org/10.1007/s12122-020-09305-4</w:t>
        </w:r>
      </w:hyperlink>
      <w:r>
        <w:t xml:space="preserve">.</w:t>
      </w:r>
    </w:p>
    <w:bookmarkEnd w:id="97"/>
    <w:bookmarkStart w:id="98"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98"/>
    <w:bookmarkStart w:id="99"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99"/>
    <w:bookmarkStart w:id="100"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100"/>
    <w:bookmarkStart w:id="102"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101">
        <w:r>
          <w:rPr>
            <w:rStyle w:val="Hyperlink"/>
          </w:rPr>
          <w:t xml:space="preserve">https://doi.org/10.1111/j.1944-8287.1999.tb00079.x</w:t>
        </w:r>
      </w:hyperlink>
      <w:r>
        <w:t xml:space="preserve">.</w:t>
      </w:r>
    </w:p>
    <w:bookmarkEnd w:id="102"/>
    <w:bookmarkStart w:id="103"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103"/>
    <w:bookmarkStart w:id="104"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04"/>
    <w:bookmarkStart w:id="105"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105"/>
    <w:bookmarkStart w:id="107"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106">
        <w:r>
          <w:rPr>
            <w:rStyle w:val="Hyperlink"/>
          </w:rPr>
          <w:t xml:space="preserve">https://doi.org/10.1353/dem.2005.0025</w:t>
        </w:r>
      </w:hyperlink>
      <w:r>
        <w:t xml:space="preserve">.</w:t>
      </w:r>
    </w:p>
    <w:bookmarkEnd w:id="107"/>
    <w:bookmarkStart w:id="109"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108">
        <w:r>
          <w:rPr>
            <w:rStyle w:val="Hyperlink"/>
          </w:rPr>
          <w:t xml:space="preserve">https://doi.org/10.1007/s11113-013-9280-y</w:t>
        </w:r>
      </w:hyperlink>
      <w:r>
        <w:t xml:space="preserve">.</w:t>
      </w:r>
    </w:p>
    <w:bookmarkEnd w:id="109"/>
    <w:bookmarkStart w:id="111"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Cs/>
          <w:i/>
        </w:rPr>
        <w:t xml:space="preserve">Demography</w:t>
      </w:r>
      <w:r>
        <w:t xml:space="preserve"> </w:t>
      </w:r>
      <w:r>
        <w:t xml:space="preserve">61 (4): 995–1009.</w:t>
      </w:r>
      <w:r>
        <w:t xml:space="preserve"> </w:t>
      </w:r>
      <w:hyperlink r:id="rId110">
        <w:r>
          <w:rPr>
            <w:rStyle w:val="Hyperlink"/>
          </w:rPr>
          <w:t xml:space="preserve">https://doi.org/10.1215/00703370-11482174</w:t>
        </w:r>
      </w:hyperlink>
      <w:r>
        <w:t xml:space="preserve">.</w:t>
      </w:r>
    </w:p>
    <w:bookmarkEnd w:id="111"/>
    <w:bookmarkStart w:id="113"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Cs/>
          <w:i/>
        </w:rPr>
        <w:t xml:space="preserve">Sociology Compass</w:t>
      </w:r>
      <w:r>
        <w:t xml:space="preserve"> </w:t>
      </w:r>
      <w:r>
        <w:t xml:space="preserve">12 (11): e12638.</w:t>
      </w:r>
      <w:r>
        <w:t xml:space="preserve"> </w:t>
      </w:r>
      <w:hyperlink r:id="rId112">
        <w:r>
          <w:rPr>
            <w:rStyle w:val="Hyperlink"/>
          </w:rPr>
          <w:t xml:space="preserve">https://doi.org/10.1111/soc4.12638</w:t>
        </w:r>
      </w:hyperlink>
      <w:r>
        <w:t xml:space="preserve">.</w:t>
      </w:r>
    </w:p>
    <w:bookmarkEnd w:id="113"/>
    <w:bookmarkStart w:id="114"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114"/>
    <w:bookmarkStart w:id="115"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115"/>
    <w:bookmarkStart w:id="116"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16"/>
    <w:bookmarkStart w:id="118"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Cs/>
          <w:i/>
        </w:rPr>
        <w:t xml:space="preserve">American Journal of Sociology</w:t>
      </w:r>
      <w:r>
        <w:t xml:space="preserve"> </w:t>
      </w:r>
      <w:r>
        <w:t xml:space="preserve">127 (4): 1267–1310.</w:t>
      </w:r>
      <w:r>
        <w:t xml:space="preserve"> </w:t>
      </w:r>
      <w:hyperlink r:id="rId117">
        <w:r>
          <w:rPr>
            <w:rStyle w:val="Hyperlink"/>
          </w:rPr>
          <w:t xml:space="preserve">https://doi.org/10.1086/718279</w:t>
        </w:r>
      </w:hyperlink>
      <w:r>
        <w:t xml:space="preserve">.</w:t>
      </w:r>
    </w:p>
    <w:bookmarkEnd w:id="118"/>
    <w:bookmarkStart w:id="120"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 </w:t>
      </w:r>
      <w:r>
        <w:t xml:space="preserve">50 (4): 856–89.</w:t>
      </w:r>
      <w:r>
        <w:t xml:space="preserve"> </w:t>
      </w:r>
      <w:hyperlink r:id="rId119">
        <w:r>
          <w:rPr>
            <w:rStyle w:val="Hyperlink"/>
          </w:rPr>
          <w:t xml:space="preserve">https://doi.org/10.1111/lasr.12239</w:t>
        </w:r>
      </w:hyperlink>
      <w:r>
        <w:t xml:space="preserve">.</w:t>
      </w:r>
    </w:p>
    <w:bookmarkEnd w:id="120"/>
    <w:bookmarkStart w:id="122"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121">
        <w:r>
          <w:rPr>
            <w:rStyle w:val="Hyperlink"/>
          </w:rPr>
          <w:t xml:space="preserve">https://doi.org/10.31235/osf.io/6wx2h</w:t>
        </w:r>
      </w:hyperlink>
      <w:r>
        <w:t xml:space="preserve">.</w:t>
      </w:r>
    </w:p>
    <w:bookmarkEnd w:id="122"/>
    <w:bookmarkStart w:id="124"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23">
        <w:r>
          <w:rPr>
            <w:rStyle w:val="Hyperlink"/>
          </w:rPr>
          <w:t xml:space="preserve">https://doi.org/10.3386/w19626</w:t>
        </w:r>
      </w:hyperlink>
      <w:r>
        <w:t xml:space="preserve">.</w:t>
      </w:r>
    </w:p>
    <w:bookmarkEnd w:id="124"/>
    <w:bookmarkStart w:id="125"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125"/>
    <w:bookmarkStart w:id="126"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126"/>
    <w:bookmarkEnd w:id="127"/>
    <w:p>
      <w:r>
        <w:br w:type="page"/>
      </w:r>
    </w:p>
    <w:bookmarkEnd w:id="128"/>
    <w:bookmarkStart w:id="131" w:name="tables"/>
    <w:p>
      <w:pPr>
        <w:pStyle w:val="Heading1"/>
      </w:pPr>
      <w:r>
        <w:t xml:space="preserve">Tables</w:t>
      </w:r>
    </w:p>
    <w:p>
      <w:pPr>
        <w:pStyle w:val="TableCaption"/>
      </w:pPr>
      <w:bookmarkStart w:id="129" w:name="tab:desc-ind"/>
      <w:bookmarkEnd w:id="129"/>
      <w:r>
        <w:t xml:space="preserve">Table 1:</w:t>
      </w:r>
      <w:r>
        <w:t xml:space="preserve"> </w:t>
      </w:r>
      <w:r>
        <w:t xml:space="preserve">Mean values for individual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30.45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40.04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40.18</w:t>
            </w:r>
          </w:p>
        </w:tc>
      </w:tr>
      <w:tr>
        <w:trPr>
          <w:trHeight w:val="611" w:hRule="auto"/>
        </w:trPr>
        body2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w:t>
            </w:r>
          </w:p>
        </w:tc>
      </w:tr>
      <w:tr>
        <w:trPr>
          <w:trHeight w:val="611" w:hRule="auto"/>
        </w:trPr>
        body3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w:t>
            </w:r>
          </w:p>
        </w:tc>
      </w:tr>
      <w:tr>
        <w:trPr>
          <w:trHeight w:val="567" w:hRule="auto"/>
        </w:trPr>
        body4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35.99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41.89</w:t>
            </w:r>
          </w:p>
        </w:tc>
      </w:tr>
      <w:tr>
        <w:trPr>
          <w:trHeight w:val="566" w:hRule="auto"/>
        </w:trPr>
        body5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w:t>
            </w:r>
          </w:p>
        </w:tc>
      </w:tr>
      <w:tr>
        <w:trPr>
          <w:trHeight w:val="566" w:hRule="auto"/>
        </w:trPr>
        body6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0.37</w:t>
            </w:r>
          </w:p>
        </w:tc>
      </w:tr>
      <w:tr>
        <w:trPr>
          <w:trHeight w:val="607" w:hRule="auto"/>
        </w:trPr>
        body7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42.58</w:t>
            </w:r>
          </w:p>
        </w:tc>
      </w:tr>
      <w:tr>
        <w:trPr>
          <w:trHeight w:val="596" w:hRule="auto"/>
        </w:trPr>
        body8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body9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p>
      <w:pPr>
        <w:pStyle w:val="TableCaption"/>
      </w:pPr>
      <w:bookmarkStart w:id="130" w:name="tab:desc-geo"/>
      <w:bookmarkEnd w:id="130"/>
      <w:r>
        <w:t xml:space="preserve">Table 2:</w:t>
      </w:r>
      <w:r>
        <w:t xml:space="preserve"> </w:t>
      </w:r>
      <w:r>
        <w:t xml:space="preserve">Mean values for geographic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4"/>
        <w:gridCol w:w="1902"/>
        <w:gridCol w:w="1670"/>
        <w:gridCol w:w="1964"/>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r>
      <w:tr>
        <w:trPr>
          <w:trHeight w:val="61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12.75</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16.62</w:t>
            </w:r>
          </w:p>
        </w:tc>
      </w:tr>
      <w:tr>
        <w:trPr>
          <w:trHeight w:val="61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27.93</w:t>
            </w:r>
          </w:p>
        </w:tc>
      </w:tr>
      <w:tr>
        <w:trPr>
          <w:trHeight w:val="61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62.82</w:t>
            </w:r>
          </w:p>
        </w:tc>
      </w:tr>
      <w:tr>
        <w:trPr>
          <w:trHeight w:val="6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38.48</w:t>
            </w:r>
          </w:p>
        </w:tc>
      </w:tr>
      <w:tr>
        <w:trPr>
          <w:trHeight w:val="61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13.47</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12.23</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28.63</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37.29</w:t>
            </w:r>
          </w:p>
        </w:tc>
      </w:tr>
      <w:tr>
        <w:trPr>
          <w:trHeight w:val="61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w:t>
            </w:r>
          </w:p>
        </w:tc>
      </w:tr>
      <w:tr>
        <w:trPr>
          <w:trHeight w:val="61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3,938.43</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363.84</w:t>
            </w:r>
          </w:p>
        </w:tc>
      </w:tr>
      <w:tr>
        <w:trPr>
          <w:trHeight w:val="61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2,181.30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2,200.92</w:t>
            </w:r>
          </w:p>
        </w:tc>
      </w:tr>
      <w:tr>
        <w:trPr>
          <w:trHeight w:val="61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6,088.93</w:t>
            </w:r>
          </w:p>
        </w:tc>
      </w:tr>
      <w:tr>
        <w:trPr>
          <w:trHeight w:val="61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w:t>
            </w:r>
          </w:p>
        </w:tc>
      </w:tr>
      <w:tr>
        <w:trPr>
          <w:trHeight w:val="61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596"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bookmarkEnd w:id="131"/>
    <w:bookmarkStart w:id="144" w:name="figures"/>
    <w:p>
      <w:pPr>
        <w:pStyle w:val="Heading1"/>
      </w:pPr>
      <w:r>
        <w:t xml:space="preserve">Figures</w:t>
      </w:r>
    </w:p>
    <w:p>
      <w:pPr>
        <w:pStyle w:val="CaptionedFigure"/>
      </w:pPr>
      <w:r>
        <w:drawing>
          <wp:inline>
            <wp:extent cx="5943600" cy="4754880"/>
            <wp:effectExtent b="0" l="0" r="0" t="0"/>
            <wp:docPr descr="Figure 1: Percentage of cohabiting immigrants in same-sex couples in U.S. states, averaging over ACS survey years 2008 to 2022." title="" id="133" name="Picture"/>
            <a:graphic>
              <a:graphicData uri="http://schemas.openxmlformats.org/drawingml/2006/picture">
                <pic:pic>
                  <pic:nvPicPr>
                    <pic:cNvPr descr="ssimm_geo_files/figure-docx/state-map-1.png" id="134" name="Picture"/>
                    <pic:cNvPicPr>
                      <a:picLocks noChangeArrowheads="1" noChangeAspect="1"/>
                    </pic:cNvPicPr>
                  </pic:nvPicPr>
                  <pic:blipFill>
                    <a:blip r:embed="rId13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35" w:name="fig:state-map"/>
      <w:bookmarkEnd w:id="135"/>
      <w:r>
        <w:t xml:space="preserve">Figure 1: Percentage of cohabiting immigrants in same-sex couples in U.S. states, averaging over ACS survey years 2008 to 2022.</w:t>
      </w:r>
    </w:p>
    <w:p>
      <w:r>
        <w:br w:type="page"/>
      </w:r>
    </w:p>
    <w:p>
      <w:pPr>
        <w:pStyle w:val="CaptionedFigure"/>
      </w:pPr>
      <w:r>
        <w:drawing>
          <wp:inline>
            <wp:extent cx="5943600" cy="4754880"/>
            <wp:effectExtent b="0" l="0" r="0" t="0"/>
            <wp:docPr descr="Figure 2: Individual characteristics over time for immigrants in different- and same-sex couples and non-immigrants in same-sex couples, based on American Community Survey data for 2008-2022. Estimates incorporate sampling weights." title="" id="137" name="Picture"/>
            <a:graphic>
              <a:graphicData uri="http://schemas.openxmlformats.org/drawingml/2006/picture">
                <pic:pic>
                  <pic:nvPicPr>
                    <pic:cNvPr descr="ssimm_geo_files/figure-docx/desc-ind-figures-1.png" id="138" name="Picture"/>
                    <pic:cNvPicPr>
                      <a:picLocks noChangeArrowheads="1" noChangeAspect="1"/>
                    </pic:cNvPicPr>
                  </pic:nvPicPr>
                  <pic:blipFill>
                    <a:blip r:embed="rId13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39" w:name="fig:desc-ind-figures"/>
      <w:bookmarkEnd w:id="139"/>
      <w:r>
        <w:t xml:space="preserve">Figure 2: Individual characteristics over time for immigrants in different- and same-sex couples and non-immigrants in same-sex couples, based on American Community Survey data for 2008-2022. Estimates incorporate sampling weights.</w:t>
      </w:r>
    </w:p>
    <w:p>
      <w:r>
        <w:br w:type="page"/>
      </w:r>
    </w:p>
    <w:p>
      <w:pPr>
        <w:pStyle w:val="CaptionedFigure"/>
      </w:pPr>
      <w:r>
        <w:drawing>
          <wp:inline>
            <wp:extent cx="5943600" cy="7726680"/>
            <wp:effectExtent b="0" l="0" r="0" t="0"/>
            <wp:docPr descr="Figure 3: Geographic characteristics over time for immigrants in different- and same-sex couples and non-immigrants in same-sex couples, based on American Community Survey data for 2008-2022. Estimates incorporate sampling weights." title="" id="141" name="Picture"/>
            <a:graphic>
              <a:graphicData uri="http://schemas.openxmlformats.org/drawingml/2006/picture">
                <pic:pic>
                  <pic:nvPicPr>
                    <pic:cNvPr descr="ssimm_geo_files/figure-docx/desc-geo-figures-1.png" id="142" name="Picture"/>
                    <pic:cNvPicPr>
                      <a:picLocks noChangeArrowheads="1" noChangeAspect="1"/>
                    </pic:cNvPicPr>
                  </pic:nvPicPr>
                  <pic:blipFill>
                    <a:blip r:embed="rId140"/>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143" w:name="fig:desc-geo-figures"/>
      <w:bookmarkEnd w:id="143"/>
      <w:r>
        <w:t xml:space="preserve">Figure 3: Geographic characteristics over time for immigrants in different- and same-sex couples and non-immigrants in same-sex couples, based on American Community Survey data for 2008-2022. Estimates incorporate sampling weights.</w:t>
      </w:r>
    </w:p>
    <w:bookmarkEnd w:id="144"/>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40" Target="media/rId140.png" /><Relationship Type="http://schemas.openxmlformats.org/officeDocument/2006/relationships/image" Id="rId136" Target="media/rId136.png" /><Relationship Type="http://schemas.openxmlformats.org/officeDocument/2006/relationships/image" Id="rId132" Target="media/rId132.png" /><Relationship Type="http://schemas.openxmlformats.org/officeDocument/2006/relationships/hyperlink" Id="rId40"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92" Target="https://doi.org/10.1007/s00148-021-00842-5" TargetMode="External" /><Relationship Type="http://schemas.openxmlformats.org/officeDocument/2006/relationships/hyperlink" Id="rId108"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96" Target="https://doi.org/10.1007/s12122-020-09305-4" TargetMode="External" /><Relationship Type="http://schemas.openxmlformats.org/officeDocument/2006/relationships/hyperlink" Id="rId71" Target="https://doi.org/10.1007/s13524-012-0177-x" TargetMode="External" /><Relationship Type="http://schemas.openxmlformats.org/officeDocument/2006/relationships/hyperlink" Id="rId50" Target="https://doi.org/10.1016/j.geoforum.2015.11.007" TargetMode="External" /><Relationship Type="http://schemas.openxmlformats.org/officeDocument/2006/relationships/hyperlink" Id="rId44" Target="https://doi.org/10.1080/1387698042000273479" TargetMode="External" /><Relationship Type="http://schemas.openxmlformats.org/officeDocument/2006/relationships/hyperlink" Id="rId69" Target="https://doi.org/10.1080/14649360902853262" TargetMode="External" /><Relationship Type="http://schemas.openxmlformats.org/officeDocument/2006/relationships/hyperlink" Id="rId90" Target="https://doi.org/10.1080/17450100903195318" TargetMode="External" /><Relationship Type="http://schemas.openxmlformats.org/officeDocument/2006/relationships/hyperlink" Id="rId117" Target="https://doi.org/10.1086/718279" TargetMode="External" /><Relationship Type="http://schemas.openxmlformats.org/officeDocument/2006/relationships/hyperlink" Id="rId82" Target="https://doi.org/10.1093/sf/soad108" TargetMode="External" /><Relationship Type="http://schemas.openxmlformats.org/officeDocument/2006/relationships/hyperlink" Id="rId61" Target="https://doi.org/10.1111/1540-6040.00034" TargetMode="External" /><Relationship Type="http://schemas.openxmlformats.org/officeDocument/2006/relationships/hyperlink" Id="rId77" Target="https://doi.org/10.1111/j.1540-6040.2010.01353.x" TargetMode="External" /><Relationship Type="http://schemas.openxmlformats.org/officeDocument/2006/relationships/hyperlink" Id="rId101" Target="https://doi.org/10.1111/j.1944-8287.1999.tb00079.x" TargetMode="External" /><Relationship Type="http://schemas.openxmlformats.org/officeDocument/2006/relationships/hyperlink" Id="rId48" Target="https://doi.org/10.1111/kykl.12206" TargetMode="External" /><Relationship Type="http://schemas.openxmlformats.org/officeDocument/2006/relationships/hyperlink" Id="rId119" Target="https://doi.org/10.1111/lasr.12239" TargetMode="External" /><Relationship Type="http://schemas.openxmlformats.org/officeDocument/2006/relationships/hyperlink" Id="rId112" Target="https://doi.org/10.1111/soc4.12638" TargetMode="External" /><Relationship Type="http://schemas.openxmlformats.org/officeDocument/2006/relationships/hyperlink" Id="rId59" Target="https://doi.org/10.1146/annurev-soc-090320-100926" TargetMode="External" /><Relationship Type="http://schemas.openxmlformats.org/officeDocument/2006/relationships/hyperlink" Id="rId54" Target="https://doi.org/10.1177/0002716219857667" TargetMode="External" /><Relationship Type="http://schemas.openxmlformats.org/officeDocument/2006/relationships/hyperlink" Id="rId52" Target="https://doi.org/10.1177/0011392119850231" TargetMode="External" /><Relationship Type="http://schemas.openxmlformats.org/officeDocument/2006/relationships/hyperlink" Id="rId46" Target="https://doi.org/10.1177/00380385211073237" TargetMode="External" /><Relationship Type="http://schemas.openxmlformats.org/officeDocument/2006/relationships/hyperlink" Id="rId80" Target="https://doi.org/10.1177/01979183231187623" TargetMode="External" /><Relationship Type="http://schemas.openxmlformats.org/officeDocument/2006/relationships/hyperlink" Id="rId94" Target="https://doi.org/10.1177/23780231231222772" TargetMode="External" /><Relationship Type="http://schemas.openxmlformats.org/officeDocument/2006/relationships/hyperlink" Id="rId110" Target="https://doi.org/10.1215/00703370-11482174" TargetMode="External" /><Relationship Type="http://schemas.openxmlformats.org/officeDocument/2006/relationships/hyperlink" Id="rId106" Target="https://doi.org/10.1353/dem.2005.0025" TargetMode="External" /><Relationship Type="http://schemas.openxmlformats.org/officeDocument/2006/relationships/hyperlink" Id="rId86" Target="https://doi.org/10.1353/dem.2008.0009" TargetMode="External" /><Relationship Type="http://schemas.openxmlformats.org/officeDocument/2006/relationships/hyperlink" Id="rId88" Target="https://doi.org/10.1371/journal.pone.0198751" TargetMode="External" /><Relationship Type="http://schemas.openxmlformats.org/officeDocument/2006/relationships/hyperlink" Id="rId65" Target="https://doi.org/10.1515/9781400850174" TargetMode="External" /><Relationship Type="http://schemas.openxmlformats.org/officeDocument/2006/relationships/hyperlink" Id="rId121" Target="https://doi.org/10.31235/osf.io/6wx2h" TargetMode="External" /><Relationship Type="http://schemas.openxmlformats.org/officeDocument/2006/relationships/hyperlink" Id="rId84" Target="https://doi.org/10.31235/osf.io/yb6ua" TargetMode="External" /><Relationship Type="http://schemas.openxmlformats.org/officeDocument/2006/relationships/hyperlink" Id="rId123" Target="https://doi.org/10.3386/w19626" TargetMode="External" /><Relationship Type="http://schemas.openxmlformats.org/officeDocument/2006/relationships/hyperlink" Id="rId73" Target="https://doi.org/10.7551/mitpress/3303.001.0001" TargetMode="External" /><Relationship Type="http://schemas.openxmlformats.org/officeDocument/2006/relationships/hyperlink" Id="rId75" Target="https://www.jstor.org/stable/271107" TargetMode="External" /><Relationship Type="http://schemas.openxmlformats.org/officeDocument/2006/relationships/hyperlink" Id="rId56" Target="https://www.jstor.org/stable/42864364" TargetMode="External" /><Relationship Type="http://schemas.openxmlformats.org/officeDocument/2006/relationships/hyperlink" Id="rId25"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0"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92" Target="https://doi.org/10.1007/s00148-021-00842-5" TargetMode="External" /><Relationship Type="http://schemas.openxmlformats.org/officeDocument/2006/relationships/hyperlink" Id="rId108"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96" Target="https://doi.org/10.1007/s12122-020-09305-4" TargetMode="External" /><Relationship Type="http://schemas.openxmlformats.org/officeDocument/2006/relationships/hyperlink" Id="rId71" Target="https://doi.org/10.1007/s13524-012-0177-x" TargetMode="External" /><Relationship Type="http://schemas.openxmlformats.org/officeDocument/2006/relationships/hyperlink" Id="rId50" Target="https://doi.org/10.1016/j.geoforum.2015.11.007" TargetMode="External" /><Relationship Type="http://schemas.openxmlformats.org/officeDocument/2006/relationships/hyperlink" Id="rId44" Target="https://doi.org/10.1080/1387698042000273479" TargetMode="External" /><Relationship Type="http://schemas.openxmlformats.org/officeDocument/2006/relationships/hyperlink" Id="rId69" Target="https://doi.org/10.1080/14649360902853262" TargetMode="External" /><Relationship Type="http://schemas.openxmlformats.org/officeDocument/2006/relationships/hyperlink" Id="rId90" Target="https://doi.org/10.1080/17450100903195318" TargetMode="External" /><Relationship Type="http://schemas.openxmlformats.org/officeDocument/2006/relationships/hyperlink" Id="rId117" Target="https://doi.org/10.1086/718279" TargetMode="External" /><Relationship Type="http://schemas.openxmlformats.org/officeDocument/2006/relationships/hyperlink" Id="rId82" Target="https://doi.org/10.1093/sf/soad108" TargetMode="External" /><Relationship Type="http://schemas.openxmlformats.org/officeDocument/2006/relationships/hyperlink" Id="rId61" Target="https://doi.org/10.1111/1540-6040.00034" TargetMode="External" /><Relationship Type="http://schemas.openxmlformats.org/officeDocument/2006/relationships/hyperlink" Id="rId77" Target="https://doi.org/10.1111/j.1540-6040.2010.01353.x" TargetMode="External" /><Relationship Type="http://schemas.openxmlformats.org/officeDocument/2006/relationships/hyperlink" Id="rId101" Target="https://doi.org/10.1111/j.1944-8287.1999.tb00079.x" TargetMode="External" /><Relationship Type="http://schemas.openxmlformats.org/officeDocument/2006/relationships/hyperlink" Id="rId48" Target="https://doi.org/10.1111/kykl.12206" TargetMode="External" /><Relationship Type="http://schemas.openxmlformats.org/officeDocument/2006/relationships/hyperlink" Id="rId119" Target="https://doi.org/10.1111/lasr.12239" TargetMode="External" /><Relationship Type="http://schemas.openxmlformats.org/officeDocument/2006/relationships/hyperlink" Id="rId112" Target="https://doi.org/10.1111/soc4.12638" TargetMode="External" /><Relationship Type="http://schemas.openxmlformats.org/officeDocument/2006/relationships/hyperlink" Id="rId59" Target="https://doi.org/10.1146/annurev-soc-090320-100926" TargetMode="External" /><Relationship Type="http://schemas.openxmlformats.org/officeDocument/2006/relationships/hyperlink" Id="rId54" Target="https://doi.org/10.1177/0002716219857667" TargetMode="External" /><Relationship Type="http://schemas.openxmlformats.org/officeDocument/2006/relationships/hyperlink" Id="rId52" Target="https://doi.org/10.1177/0011392119850231" TargetMode="External" /><Relationship Type="http://schemas.openxmlformats.org/officeDocument/2006/relationships/hyperlink" Id="rId46" Target="https://doi.org/10.1177/00380385211073237" TargetMode="External" /><Relationship Type="http://schemas.openxmlformats.org/officeDocument/2006/relationships/hyperlink" Id="rId80" Target="https://doi.org/10.1177/01979183231187623" TargetMode="External" /><Relationship Type="http://schemas.openxmlformats.org/officeDocument/2006/relationships/hyperlink" Id="rId94" Target="https://doi.org/10.1177/23780231231222772" TargetMode="External" /><Relationship Type="http://schemas.openxmlformats.org/officeDocument/2006/relationships/hyperlink" Id="rId110" Target="https://doi.org/10.1215/00703370-11482174" TargetMode="External" /><Relationship Type="http://schemas.openxmlformats.org/officeDocument/2006/relationships/hyperlink" Id="rId106" Target="https://doi.org/10.1353/dem.2005.0025" TargetMode="External" /><Relationship Type="http://schemas.openxmlformats.org/officeDocument/2006/relationships/hyperlink" Id="rId86" Target="https://doi.org/10.1353/dem.2008.0009" TargetMode="External" /><Relationship Type="http://schemas.openxmlformats.org/officeDocument/2006/relationships/hyperlink" Id="rId88" Target="https://doi.org/10.1371/journal.pone.0198751" TargetMode="External" /><Relationship Type="http://schemas.openxmlformats.org/officeDocument/2006/relationships/hyperlink" Id="rId65" Target="https://doi.org/10.1515/9781400850174" TargetMode="External" /><Relationship Type="http://schemas.openxmlformats.org/officeDocument/2006/relationships/hyperlink" Id="rId121" Target="https://doi.org/10.31235/osf.io/6wx2h" TargetMode="External" /><Relationship Type="http://schemas.openxmlformats.org/officeDocument/2006/relationships/hyperlink" Id="rId84" Target="https://doi.org/10.31235/osf.io/yb6ua" TargetMode="External" /><Relationship Type="http://schemas.openxmlformats.org/officeDocument/2006/relationships/hyperlink" Id="rId123" Target="https://doi.org/10.3386/w19626" TargetMode="External" /><Relationship Type="http://schemas.openxmlformats.org/officeDocument/2006/relationships/hyperlink" Id="rId73" Target="https://doi.org/10.7551/mitpress/3303.001.0001" TargetMode="External" /><Relationship Type="http://schemas.openxmlformats.org/officeDocument/2006/relationships/hyperlink" Id="rId75" Target="https://www.jstor.org/stable/271107" TargetMode="External" /><Relationship Type="http://schemas.openxmlformats.org/officeDocument/2006/relationships/hyperlink" Id="rId56" Target="https://www.jstor.org/stable/42864364" TargetMode="External" /><Relationship Type="http://schemas.openxmlformats.org/officeDocument/2006/relationships/hyperlink" Id="rId25"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UCLA; Kristopher Velasco, Department of Sociology, Princeton University</dc:creator>
  <dc:language>en-US</dc:language>
  <cp:keywords/>
  <dcterms:created xsi:type="dcterms:W3CDTF">2025-02-05T00:07:23Z</dcterms:created>
  <dcterms:modified xsi:type="dcterms:W3CDTF">2025-02-05T00:07:23Z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Where do queer immigrants settle in the United States? The policy landscape for same-sex couples in the U.S. has changed rapidly in recent years, with immigrants being particularly affected. After the 2013 end of the Defense of Marriage Act, U.S. citizens could finally sponsor the visa of a same-sex partner, and number of immigrants in same-sex couples increased rapidly. But little is known about where these lesbian, gay, and bisexual (LGB) immigrants choose to settle and enjoy their new rights. Do they behave more similarly to their straight immigrant counterparts and locate based on job opportunities and cost of living? Or do they gravitate toward more queer-friendly cities and states, as U.S.-born LGB people do? How have these patterns changed over time, especially in response to local policy changes relevant to queer people and immigrants? Using American Community Survey data from 2008-2022 and original datasets, this paper implements descriptive analyses and quasi-Poisson models to study how settlement patterns of immigrants in same-sex couples in the U.S. respond to local and national policy changes as well as other local sociodemographic and economic factors. We find that the distribution of immigrants in same-sex couples is expanding across the U.S. over time. These settlement patterns generally look more similar to fellow U.S.-born LGB Americans: locations with higher concentrations are more progressive, have more robust LGBTQ+ civic life, and have higher incomes. Yet immigrants in same-sex couples also live in more racially and ethnically diverse areas compared to U.S.-born Americans in same-sex couples. Our findings contribute to a fuller understanding of this rapidly growing population and under which conditions they may behave more similarly to their fellow migrants, their fellow sexual minorities, or as a distinct population all their own.xx</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February 4, 2025</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